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4D3894" w14:textId="174371EE" w:rsidR="00245005" w:rsidRPr="00034542" w:rsidRDefault="00245005" w:rsidP="005B08D6">
      <w:pPr>
        <w:jc w:val="both"/>
        <w:rPr>
          <w:rFonts w:ascii="Times New Roman" w:hAnsi="Times New Roman" w:cs="Times New Roman"/>
          <w:sz w:val="22"/>
          <w:szCs w:val="22"/>
        </w:rPr>
      </w:pPr>
      <w:r w:rsidRPr="00034542">
        <w:rPr>
          <w:rFonts w:ascii="Times New Roman" w:hAnsi="Times New Roman" w:cs="Times New Roman"/>
          <w:sz w:val="22"/>
          <w:szCs w:val="22"/>
        </w:rPr>
        <w:t>Point-to–point responses to review comments</w:t>
      </w:r>
      <w:r w:rsidR="00687065" w:rsidRPr="00034542">
        <w:rPr>
          <w:rFonts w:ascii="Times New Roman" w:hAnsi="Times New Roman" w:cs="Times New Roman"/>
          <w:sz w:val="22"/>
          <w:szCs w:val="22"/>
        </w:rPr>
        <w:t xml:space="preserve"> (</w:t>
      </w:r>
      <w:r w:rsidR="00F72A02" w:rsidRPr="00034542">
        <w:rPr>
          <w:rFonts w:ascii="Times New Roman" w:hAnsi="Times New Roman" w:cs="Times New Roman"/>
          <w:sz w:val="22"/>
          <w:szCs w:val="22"/>
        </w:rPr>
        <w:t>egusphere-2024-</w:t>
      </w:r>
      <w:r w:rsidR="005B08D6" w:rsidRPr="00034542">
        <w:rPr>
          <w:rFonts w:ascii="Times New Roman" w:hAnsi="Times New Roman" w:cs="Times New Roman"/>
          <w:sz w:val="22"/>
          <w:szCs w:val="22"/>
        </w:rPr>
        <w:t>3290</w:t>
      </w:r>
      <w:r w:rsidRPr="00034542">
        <w:rPr>
          <w:rFonts w:ascii="Times New Roman" w:hAnsi="Times New Roman" w:cs="Times New Roman"/>
          <w:sz w:val="22"/>
          <w:szCs w:val="22"/>
        </w:rPr>
        <w:t>）</w:t>
      </w:r>
    </w:p>
    <w:p w14:paraId="1BED360F" w14:textId="45B13712" w:rsidR="00687065" w:rsidRPr="00034542" w:rsidRDefault="00687065" w:rsidP="005B08D6">
      <w:pPr>
        <w:jc w:val="both"/>
        <w:rPr>
          <w:rFonts w:ascii="Times New Roman" w:hAnsi="Times New Roman" w:cs="Times New Roman"/>
          <w:sz w:val="22"/>
          <w:szCs w:val="22"/>
        </w:rPr>
      </w:pPr>
      <w:r w:rsidRPr="00034542">
        <w:rPr>
          <w:rFonts w:ascii="Times New Roman" w:hAnsi="Times New Roman" w:cs="Times New Roman"/>
          <w:sz w:val="22"/>
          <w:szCs w:val="22"/>
        </w:rPr>
        <w:t xml:space="preserve">Title: </w:t>
      </w:r>
      <w:r w:rsidR="005B08D6" w:rsidRPr="00034542">
        <w:rPr>
          <w:rFonts w:ascii="Times New Roman" w:hAnsi="Times New Roman" w:cs="Times New Roman"/>
          <w:sz w:val="22"/>
          <w:szCs w:val="22"/>
        </w:rPr>
        <w:t>Emissions of Intermediate- and Semi-Volatile Organic Compounds (I/SVOCs) from Different Cumulative Mileage Diesel Vehicles under Various Ambient Temperatures</w:t>
      </w:r>
    </w:p>
    <w:p w14:paraId="70B2F8BE" w14:textId="34D508E5" w:rsidR="002A6D2B" w:rsidRPr="00034542" w:rsidRDefault="002A6D2B" w:rsidP="005B08D6">
      <w:pPr>
        <w:jc w:val="both"/>
        <w:rPr>
          <w:rFonts w:ascii="Times New Roman" w:hAnsi="Times New Roman" w:cs="Times New Roman"/>
          <w:sz w:val="22"/>
          <w:szCs w:val="22"/>
        </w:rPr>
      </w:pPr>
      <w:r w:rsidRPr="00034542">
        <w:rPr>
          <w:rFonts w:ascii="Times New Roman" w:hAnsi="Times New Roman" w:cs="Times New Roman"/>
          <w:sz w:val="22"/>
          <w:szCs w:val="22"/>
        </w:rPr>
        <w:t xml:space="preserve">Review of </w:t>
      </w:r>
      <w:proofErr w:type="spellStart"/>
      <w:r w:rsidR="005B08D6" w:rsidRPr="00034542">
        <w:rPr>
          <w:rFonts w:ascii="Times New Roman" w:hAnsi="Times New Roman" w:cs="Times New Roman"/>
          <w:sz w:val="22"/>
          <w:szCs w:val="22"/>
        </w:rPr>
        <w:t>Shuwen</w:t>
      </w:r>
      <w:proofErr w:type="spellEnd"/>
      <w:r w:rsidRPr="00034542">
        <w:rPr>
          <w:rFonts w:ascii="Times New Roman" w:hAnsi="Times New Roman" w:cs="Times New Roman"/>
          <w:sz w:val="22"/>
          <w:szCs w:val="22"/>
        </w:rPr>
        <w:t xml:space="preserve"> </w:t>
      </w:r>
      <w:r w:rsidR="005B08D6" w:rsidRPr="00034542">
        <w:rPr>
          <w:rFonts w:ascii="Times New Roman" w:hAnsi="Times New Roman" w:cs="Times New Roman"/>
          <w:sz w:val="22"/>
          <w:szCs w:val="22"/>
        </w:rPr>
        <w:t>Guo</w:t>
      </w:r>
      <w:r w:rsidRPr="00034542">
        <w:rPr>
          <w:rFonts w:ascii="Times New Roman" w:hAnsi="Times New Roman" w:cs="Times New Roman"/>
          <w:sz w:val="22"/>
          <w:szCs w:val="22"/>
        </w:rPr>
        <w:t xml:space="preserve"> et al.</w:t>
      </w:r>
    </w:p>
    <w:p w14:paraId="65A09E33" w14:textId="6C14E430" w:rsidR="00AE2204" w:rsidRPr="00034542" w:rsidRDefault="00AE2204" w:rsidP="00AE2204">
      <w:pPr>
        <w:jc w:val="both"/>
        <w:rPr>
          <w:rFonts w:ascii="Times New Roman" w:hAnsi="Times New Roman" w:cs="Times New Roman"/>
          <w:sz w:val="22"/>
          <w:szCs w:val="22"/>
        </w:rPr>
      </w:pPr>
      <w:r w:rsidRPr="00034542">
        <w:rPr>
          <w:rFonts w:ascii="Times New Roman" w:hAnsi="Times New Roman" w:cs="Times New Roman"/>
          <w:sz w:val="22"/>
          <w:szCs w:val="22"/>
        </w:rPr>
        <w:t>This manuscript investigates the gaseous and particulate I/SVOC emission factors (EFs) of high-mileage vehicles (HMVs) and low-mileage vehicles (LMVs) under varying ambient temperatures using TD-GC×GC-MS. The authors provide a comprehensive analysis of the variations in emission factors and their chemical components, identifying a linear correlation between I/SVOC EFs and the modified combustion efficiency (MCE). The experimental methodology is thorough and reliable, and the findings present a significant advancement in understanding I/SVOC emissions from heavy-duty diesel vehicles (HDDVs). The results have practical implications, particularly for researchers developing I/SVOC emission inventories and secondary organic aerosol (SOA) prediction. Overall, I recommend accepting this manuscript following minor revisions.</w:t>
      </w:r>
    </w:p>
    <w:p w14:paraId="440CA03B"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336BC2F6" w14:textId="2228034B" w:rsidR="00AE2204" w:rsidRPr="00034542" w:rsidRDefault="0073670B" w:rsidP="00AE2204">
      <w:pPr>
        <w:jc w:val="both"/>
        <w:rPr>
          <w:rFonts w:ascii="Times New Roman" w:hAnsi="Times New Roman" w:cs="Times New Roman"/>
          <w:color w:val="0000FF"/>
          <w:sz w:val="22"/>
          <w:szCs w:val="22"/>
        </w:rPr>
      </w:pPr>
      <w:r w:rsidRPr="0073670B">
        <w:rPr>
          <w:rFonts w:ascii="Times New Roman" w:hAnsi="Times New Roman" w:cs="Times New Roman"/>
          <w:color w:val="0000FF"/>
          <w:sz w:val="22"/>
          <w:szCs w:val="22"/>
        </w:rPr>
        <w:t>Sincerely thanks for the positive comments. We have carefully revised the manuscript according to the specific comments.</w:t>
      </w:r>
    </w:p>
    <w:p w14:paraId="482334CD" w14:textId="77777777" w:rsidR="00AE2204" w:rsidRPr="00034542" w:rsidRDefault="00AE2204" w:rsidP="003D3847">
      <w:pPr>
        <w:jc w:val="both"/>
        <w:outlineLvl w:val="0"/>
        <w:rPr>
          <w:rFonts w:ascii="Times New Roman" w:hAnsi="Times New Roman" w:cs="Times New Roman"/>
          <w:sz w:val="22"/>
          <w:szCs w:val="22"/>
        </w:rPr>
      </w:pPr>
      <w:r w:rsidRPr="00034542">
        <w:rPr>
          <w:rFonts w:ascii="Times New Roman" w:hAnsi="Times New Roman" w:cs="Times New Roman"/>
          <w:sz w:val="22"/>
          <w:szCs w:val="22"/>
        </w:rPr>
        <w:t>Specific comments:</w:t>
      </w:r>
    </w:p>
    <w:p w14:paraId="3F616C0B" w14:textId="2497098D"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In section 2.1, the authors describe the information of the four in-use HDDVs. But the vehicle brand and the engine model of the HDDVs, which are closely related to the vehicle emission are not given. The related information should be given, and some discussion about the uncertainty caused by these differences and the aging of the engine should be included in the manuscript.</w:t>
      </w:r>
    </w:p>
    <w:p w14:paraId="6E23C61A"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6D73B4DA" w14:textId="0D6F8579"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Thanks for the suggestion. We have modified Table 1 in the main text, which offers more information including the brand,</w:t>
      </w:r>
      <w:r w:rsidR="005D0EA6" w:rsidRPr="00034542">
        <w:rPr>
          <w:rFonts w:ascii="Times New Roman" w:hAnsi="Times New Roman" w:cs="Times New Roman"/>
          <w:color w:val="0000FF"/>
          <w:sz w:val="22"/>
          <w:szCs w:val="22"/>
        </w:rPr>
        <w:t xml:space="preserve"> the engine model, and</w:t>
      </w:r>
      <w:r w:rsidR="00EF6C92" w:rsidRPr="00034542">
        <w:rPr>
          <w:rFonts w:ascii="Times New Roman" w:hAnsi="Times New Roman" w:cs="Times New Roman"/>
          <w:color w:val="0000FF"/>
          <w:sz w:val="22"/>
          <w:szCs w:val="22"/>
        </w:rPr>
        <w:t xml:space="preserve"> </w:t>
      </w:r>
      <w:r w:rsidR="005D0EA6" w:rsidRPr="00034542">
        <w:rPr>
          <w:rFonts w:ascii="Times New Roman" w:hAnsi="Times New Roman" w:cs="Times New Roman"/>
          <w:color w:val="0000FF"/>
          <w:sz w:val="22"/>
          <w:szCs w:val="22"/>
        </w:rPr>
        <w:t xml:space="preserve">the in-use duration to represent </w:t>
      </w:r>
      <w:r w:rsidR="00EF6C92" w:rsidRPr="00034542">
        <w:rPr>
          <w:rFonts w:ascii="Times New Roman" w:hAnsi="Times New Roman" w:cs="Times New Roman"/>
          <w:color w:val="0000FF"/>
          <w:sz w:val="22"/>
          <w:szCs w:val="22"/>
        </w:rPr>
        <w:t>the aging of the engine</w:t>
      </w:r>
      <w:r w:rsidR="005D0EA6" w:rsidRPr="00034542">
        <w:rPr>
          <w:rFonts w:ascii="Times New Roman" w:hAnsi="Times New Roman" w:cs="Times New Roman"/>
          <w:color w:val="0000FF"/>
          <w:sz w:val="22"/>
          <w:szCs w:val="22"/>
        </w:rPr>
        <w:t xml:space="preserve">. </w:t>
      </w:r>
      <w:r w:rsidR="00EF6C92" w:rsidRPr="00034542">
        <w:rPr>
          <w:rFonts w:ascii="Times New Roman" w:hAnsi="Times New Roman" w:cs="Times New Roman"/>
          <w:color w:val="0000FF"/>
          <w:sz w:val="22"/>
          <w:szCs w:val="22"/>
        </w:rPr>
        <w:t>Also, the uncertainty caused by them has been discussed.</w:t>
      </w:r>
    </w:p>
    <w:p w14:paraId="425C5178" w14:textId="12BBE2F3" w:rsidR="007757B9" w:rsidRPr="00034542" w:rsidRDefault="00EF6C92" w:rsidP="00295310">
      <w:pPr>
        <w:rPr>
          <w:rFonts w:ascii="Times New Roman" w:hAnsi="Times New Roman" w:cs="Times New Roman"/>
          <w:b/>
          <w:bCs/>
          <w:sz w:val="22"/>
          <w:szCs w:val="22"/>
        </w:rPr>
      </w:pPr>
      <w:r w:rsidRPr="00034542">
        <w:rPr>
          <w:rFonts w:ascii="Times New Roman" w:hAnsi="Times New Roman" w:cs="Times New Roman"/>
          <w:color w:val="0000FF"/>
          <w:sz w:val="22"/>
          <w:szCs w:val="22"/>
        </w:rPr>
        <w:t>“</w:t>
      </w:r>
      <w:bookmarkStart w:id="0" w:name="_Ref162025823"/>
      <w:r w:rsidR="007757B9" w:rsidRPr="00034542">
        <w:rPr>
          <w:rFonts w:ascii="Times New Roman" w:hAnsi="Times New Roman" w:cs="Times New Roman"/>
          <w:b/>
          <w:bCs/>
          <w:sz w:val="22"/>
          <w:szCs w:val="22"/>
        </w:rPr>
        <w:t xml:space="preserve">Table </w:t>
      </w:r>
      <w:r w:rsidR="007757B9" w:rsidRPr="00034542">
        <w:rPr>
          <w:rFonts w:ascii="Times New Roman" w:hAnsi="Times New Roman" w:cs="Times New Roman"/>
          <w:b/>
          <w:bCs/>
          <w:sz w:val="22"/>
          <w:szCs w:val="22"/>
        </w:rPr>
        <w:fldChar w:fldCharType="begin"/>
      </w:r>
      <w:r w:rsidR="007757B9" w:rsidRPr="00034542">
        <w:rPr>
          <w:rFonts w:ascii="Times New Roman" w:hAnsi="Times New Roman" w:cs="Times New Roman"/>
          <w:b/>
          <w:bCs/>
          <w:sz w:val="22"/>
          <w:szCs w:val="22"/>
        </w:rPr>
        <w:instrText xml:space="preserve"> SEQ Table \* ARABIC </w:instrText>
      </w:r>
      <w:r w:rsidR="007757B9" w:rsidRPr="00034542">
        <w:rPr>
          <w:rFonts w:ascii="Times New Roman" w:hAnsi="Times New Roman" w:cs="Times New Roman"/>
          <w:b/>
          <w:bCs/>
          <w:sz w:val="22"/>
          <w:szCs w:val="22"/>
        </w:rPr>
        <w:fldChar w:fldCharType="separate"/>
      </w:r>
      <w:r w:rsidR="00123DB1">
        <w:rPr>
          <w:rFonts w:ascii="Times New Roman" w:hAnsi="Times New Roman" w:cs="Times New Roman"/>
          <w:b/>
          <w:bCs/>
          <w:noProof/>
          <w:sz w:val="22"/>
          <w:szCs w:val="22"/>
        </w:rPr>
        <w:t>1</w:t>
      </w:r>
      <w:r w:rsidR="007757B9" w:rsidRPr="00034542">
        <w:rPr>
          <w:rFonts w:ascii="Times New Roman" w:hAnsi="Times New Roman" w:cs="Times New Roman"/>
          <w:b/>
          <w:bCs/>
          <w:noProof/>
          <w:sz w:val="22"/>
          <w:szCs w:val="22"/>
        </w:rPr>
        <w:fldChar w:fldCharType="end"/>
      </w:r>
      <w:bookmarkEnd w:id="0"/>
      <w:r w:rsidR="007757B9" w:rsidRPr="00034542">
        <w:rPr>
          <w:rFonts w:ascii="Times New Roman" w:hAnsi="Times New Roman" w:cs="Times New Roman"/>
          <w:b/>
          <w:bCs/>
          <w:noProof/>
          <w:sz w:val="22"/>
          <w:szCs w:val="22"/>
        </w:rPr>
        <w:t>.</w:t>
      </w:r>
      <w:r w:rsidR="007757B9" w:rsidRPr="00034542">
        <w:rPr>
          <w:rFonts w:ascii="Times New Roman" w:hAnsi="Times New Roman" w:cs="Times New Roman"/>
          <w:b/>
          <w:bCs/>
          <w:sz w:val="22"/>
          <w:szCs w:val="22"/>
        </w:rPr>
        <w:t xml:space="preserve"> Information on the test fleet</w:t>
      </w:r>
    </w:p>
    <w:tbl>
      <w:tblPr>
        <w:tblStyle w:val="ae"/>
        <w:tblW w:w="5000" w:type="pct"/>
        <w:tblBorders>
          <w:top w:val="single" w:sz="8" w:space="0" w:color="auto"/>
          <w:left w:val="none" w:sz="0" w:space="0" w:color="auto"/>
          <w:bottom w:val="single" w:sz="8" w:space="0" w:color="auto"/>
          <w:right w:val="none" w:sz="0" w:space="0" w:color="auto"/>
          <w:insideH w:val="single" w:sz="4" w:space="0" w:color="D1D1D1" w:themeColor="background2" w:themeShade="E6"/>
          <w:insideV w:val="none" w:sz="0" w:space="0" w:color="auto"/>
        </w:tblBorders>
        <w:tblLook w:val="04A0" w:firstRow="1" w:lastRow="0" w:firstColumn="1" w:lastColumn="0" w:noHBand="0" w:noVBand="1"/>
      </w:tblPr>
      <w:tblGrid>
        <w:gridCol w:w="2074"/>
        <w:gridCol w:w="1640"/>
        <w:gridCol w:w="1642"/>
        <w:gridCol w:w="1642"/>
        <w:gridCol w:w="1642"/>
      </w:tblGrid>
      <w:tr w:rsidR="007757B9" w:rsidRPr="00034542" w14:paraId="18298057" w14:textId="77777777" w:rsidTr="00DE257C">
        <w:tc>
          <w:tcPr>
            <w:tcW w:w="1201" w:type="pct"/>
            <w:tcBorders>
              <w:top w:val="single" w:sz="8" w:space="0" w:color="auto"/>
              <w:bottom w:val="single" w:sz="4" w:space="0" w:color="auto"/>
            </w:tcBorders>
            <w:vAlign w:val="center"/>
          </w:tcPr>
          <w:p w14:paraId="6AAE3252"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Vehicle ID</w:t>
            </w:r>
          </w:p>
        </w:tc>
        <w:tc>
          <w:tcPr>
            <w:tcW w:w="949" w:type="pct"/>
            <w:tcBorders>
              <w:top w:val="single" w:sz="8" w:space="0" w:color="auto"/>
              <w:bottom w:val="single" w:sz="4" w:space="0" w:color="auto"/>
            </w:tcBorders>
            <w:vAlign w:val="center"/>
          </w:tcPr>
          <w:p w14:paraId="37CD7544"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D1</w:t>
            </w:r>
          </w:p>
        </w:tc>
        <w:tc>
          <w:tcPr>
            <w:tcW w:w="950" w:type="pct"/>
            <w:tcBorders>
              <w:top w:val="single" w:sz="8" w:space="0" w:color="auto"/>
              <w:bottom w:val="single" w:sz="4" w:space="0" w:color="auto"/>
            </w:tcBorders>
            <w:vAlign w:val="center"/>
          </w:tcPr>
          <w:p w14:paraId="601886BF"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D2</w:t>
            </w:r>
          </w:p>
        </w:tc>
        <w:tc>
          <w:tcPr>
            <w:tcW w:w="950" w:type="pct"/>
            <w:tcBorders>
              <w:top w:val="single" w:sz="8" w:space="0" w:color="auto"/>
              <w:bottom w:val="single" w:sz="4" w:space="0" w:color="auto"/>
            </w:tcBorders>
            <w:vAlign w:val="center"/>
          </w:tcPr>
          <w:p w14:paraId="27F62D72"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D3</w:t>
            </w:r>
          </w:p>
        </w:tc>
        <w:tc>
          <w:tcPr>
            <w:tcW w:w="950" w:type="pct"/>
            <w:tcBorders>
              <w:top w:val="single" w:sz="8" w:space="0" w:color="auto"/>
              <w:bottom w:val="single" w:sz="4" w:space="0" w:color="auto"/>
            </w:tcBorders>
            <w:vAlign w:val="center"/>
          </w:tcPr>
          <w:p w14:paraId="2A3A4302"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D4</w:t>
            </w:r>
          </w:p>
        </w:tc>
      </w:tr>
      <w:tr w:rsidR="007757B9" w:rsidRPr="00034542" w14:paraId="503AE11F" w14:textId="77777777" w:rsidTr="00DE257C">
        <w:tc>
          <w:tcPr>
            <w:tcW w:w="1201" w:type="pct"/>
            <w:vAlign w:val="center"/>
          </w:tcPr>
          <w:p w14:paraId="0B2D5091"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Emission Standard</w:t>
            </w:r>
          </w:p>
        </w:tc>
        <w:tc>
          <w:tcPr>
            <w:tcW w:w="949" w:type="pct"/>
            <w:vAlign w:val="center"/>
          </w:tcPr>
          <w:p w14:paraId="64787EAD"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China Ⅴ</w:t>
            </w:r>
          </w:p>
        </w:tc>
        <w:tc>
          <w:tcPr>
            <w:tcW w:w="950" w:type="pct"/>
            <w:vAlign w:val="center"/>
          </w:tcPr>
          <w:p w14:paraId="7DA08EEE"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China Ⅴ</w:t>
            </w:r>
          </w:p>
        </w:tc>
        <w:tc>
          <w:tcPr>
            <w:tcW w:w="950" w:type="pct"/>
            <w:vAlign w:val="center"/>
          </w:tcPr>
          <w:p w14:paraId="139849BC"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China Ⅴ</w:t>
            </w:r>
          </w:p>
        </w:tc>
        <w:tc>
          <w:tcPr>
            <w:tcW w:w="950" w:type="pct"/>
            <w:vAlign w:val="center"/>
          </w:tcPr>
          <w:p w14:paraId="54515BC8"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China Ⅴ</w:t>
            </w:r>
          </w:p>
        </w:tc>
      </w:tr>
      <w:tr w:rsidR="007757B9" w:rsidRPr="00034542" w14:paraId="4C5D7CE0" w14:textId="77777777" w:rsidTr="00DE257C">
        <w:tc>
          <w:tcPr>
            <w:tcW w:w="1201" w:type="pct"/>
            <w:vAlign w:val="center"/>
          </w:tcPr>
          <w:p w14:paraId="7DDB3774"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Aftertreatment Devices</w:t>
            </w:r>
          </w:p>
        </w:tc>
        <w:tc>
          <w:tcPr>
            <w:tcW w:w="949" w:type="pct"/>
            <w:vAlign w:val="center"/>
          </w:tcPr>
          <w:p w14:paraId="5DEB4B22"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SCR</w:t>
            </w:r>
          </w:p>
        </w:tc>
        <w:tc>
          <w:tcPr>
            <w:tcW w:w="950" w:type="pct"/>
            <w:vAlign w:val="center"/>
          </w:tcPr>
          <w:p w14:paraId="26AE4A12"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SCR</w:t>
            </w:r>
          </w:p>
        </w:tc>
        <w:tc>
          <w:tcPr>
            <w:tcW w:w="950" w:type="pct"/>
            <w:vAlign w:val="center"/>
          </w:tcPr>
          <w:p w14:paraId="075C4B8A"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SCR</w:t>
            </w:r>
          </w:p>
        </w:tc>
        <w:tc>
          <w:tcPr>
            <w:tcW w:w="950" w:type="pct"/>
            <w:vAlign w:val="center"/>
          </w:tcPr>
          <w:p w14:paraId="7ACAAD0B"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SCR</w:t>
            </w:r>
          </w:p>
        </w:tc>
      </w:tr>
      <w:tr w:rsidR="007757B9" w:rsidRPr="00034542" w14:paraId="6A499F70" w14:textId="77777777" w:rsidTr="00DE257C">
        <w:tc>
          <w:tcPr>
            <w:tcW w:w="1201" w:type="pct"/>
            <w:vAlign w:val="center"/>
          </w:tcPr>
          <w:p w14:paraId="398C7D36" w14:textId="77777777" w:rsidR="007757B9" w:rsidRPr="00034542" w:rsidRDefault="007757B9" w:rsidP="00DE257C">
            <w:pPr>
              <w:spacing w:line="288" w:lineRule="auto"/>
              <w:jc w:val="center"/>
              <w:rPr>
                <w:rFonts w:ascii="Times New Roman" w:hAnsi="Times New Roman" w:cs="Times New Roman"/>
                <w:b/>
                <w:bCs/>
                <w:color w:val="FF0000"/>
                <w:sz w:val="22"/>
                <w:szCs w:val="22"/>
              </w:rPr>
            </w:pPr>
            <w:r w:rsidRPr="00034542">
              <w:rPr>
                <w:rFonts w:ascii="Times New Roman" w:hAnsi="Times New Roman" w:cs="Times New Roman"/>
                <w:b/>
                <w:bCs/>
                <w:color w:val="FF0000"/>
                <w:sz w:val="22"/>
                <w:szCs w:val="22"/>
              </w:rPr>
              <w:t>Brand</w:t>
            </w:r>
          </w:p>
        </w:tc>
        <w:tc>
          <w:tcPr>
            <w:tcW w:w="949" w:type="pct"/>
            <w:vAlign w:val="center"/>
          </w:tcPr>
          <w:p w14:paraId="5DAC404E"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DONGFENG</w:t>
            </w:r>
          </w:p>
        </w:tc>
        <w:tc>
          <w:tcPr>
            <w:tcW w:w="950" w:type="pct"/>
            <w:vAlign w:val="center"/>
          </w:tcPr>
          <w:p w14:paraId="342BD950"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SINOTRUK</w:t>
            </w:r>
          </w:p>
        </w:tc>
        <w:tc>
          <w:tcPr>
            <w:tcW w:w="950" w:type="pct"/>
            <w:vAlign w:val="center"/>
          </w:tcPr>
          <w:p w14:paraId="113C97E6"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DELONG</w:t>
            </w:r>
          </w:p>
        </w:tc>
        <w:tc>
          <w:tcPr>
            <w:tcW w:w="950" w:type="pct"/>
            <w:vAlign w:val="center"/>
          </w:tcPr>
          <w:p w14:paraId="5C9C111E"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DELONG</w:t>
            </w:r>
          </w:p>
        </w:tc>
      </w:tr>
      <w:tr w:rsidR="007757B9" w:rsidRPr="00034542" w14:paraId="49A91CAE" w14:textId="77777777" w:rsidTr="00DE257C">
        <w:tc>
          <w:tcPr>
            <w:tcW w:w="1201" w:type="pct"/>
            <w:vAlign w:val="center"/>
          </w:tcPr>
          <w:p w14:paraId="257668FA" w14:textId="77777777" w:rsidR="007757B9" w:rsidRPr="00034542" w:rsidRDefault="007757B9" w:rsidP="00DE257C">
            <w:pPr>
              <w:spacing w:line="288" w:lineRule="auto"/>
              <w:jc w:val="center"/>
              <w:rPr>
                <w:rFonts w:ascii="Times New Roman" w:hAnsi="Times New Roman" w:cs="Times New Roman"/>
                <w:b/>
                <w:bCs/>
                <w:color w:val="FF0000"/>
                <w:sz w:val="22"/>
                <w:szCs w:val="22"/>
              </w:rPr>
            </w:pPr>
            <w:r w:rsidRPr="00034542">
              <w:rPr>
                <w:rFonts w:ascii="Times New Roman" w:hAnsi="Times New Roman" w:cs="Times New Roman"/>
                <w:b/>
                <w:bCs/>
                <w:color w:val="FF0000"/>
                <w:sz w:val="22"/>
                <w:szCs w:val="22"/>
              </w:rPr>
              <w:t>Engine Model</w:t>
            </w:r>
          </w:p>
        </w:tc>
        <w:tc>
          <w:tcPr>
            <w:tcW w:w="949" w:type="pct"/>
            <w:vAlign w:val="center"/>
          </w:tcPr>
          <w:p w14:paraId="4AA5F7C4"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dCi450-51</w:t>
            </w:r>
          </w:p>
        </w:tc>
        <w:tc>
          <w:tcPr>
            <w:tcW w:w="950" w:type="pct"/>
            <w:vAlign w:val="center"/>
          </w:tcPr>
          <w:p w14:paraId="5C1EF5D7"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MC13.54-50</w:t>
            </w:r>
          </w:p>
        </w:tc>
        <w:tc>
          <w:tcPr>
            <w:tcW w:w="950" w:type="pct"/>
            <w:vAlign w:val="center"/>
          </w:tcPr>
          <w:p w14:paraId="2ACA1891"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WP10.310E53</w:t>
            </w:r>
          </w:p>
        </w:tc>
        <w:tc>
          <w:tcPr>
            <w:tcW w:w="950" w:type="pct"/>
            <w:vAlign w:val="center"/>
          </w:tcPr>
          <w:p w14:paraId="261D35E3"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WP10.310E53</w:t>
            </w:r>
          </w:p>
        </w:tc>
      </w:tr>
      <w:tr w:rsidR="007757B9" w:rsidRPr="00034542" w14:paraId="650ED1DC" w14:textId="77777777" w:rsidTr="00DE257C">
        <w:tc>
          <w:tcPr>
            <w:tcW w:w="1201" w:type="pct"/>
            <w:vAlign w:val="center"/>
          </w:tcPr>
          <w:p w14:paraId="77BE2988" w14:textId="77777777" w:rsidR="007757B9" w:rsidRPr="00034542" w:rsidRDefault="007757B9" w:rsidP="00DE257C">
            <w:pPr>
              <w:spacing w:line="288" w:lineRule="auto"/>
              <w:jc w:val="center"/>
              <w:rPr>
                <w:rFonts w:ascii="Times New Roman" w:hAnsi="Times New Roman" w:cs="Times New Roman"/>
                <w:b/>
                <w:bCs/>
                <w:color w:val="FF0000"/>
                <w:sz w:val="22"/>
                <w:szCs w:val="22"/>
              </w:rPr>
            </w:pPr>
            <w:r w:rsidRPr="00034542">
              <w:rPr>
                <w:rFonts w:ascii="Times New Roman" w:hAnsi="Times New Roman" w:cs="Times New Roman"/>
                <w:b/>
                <w:bCs/>
                <w:color w:val="FF0000"/>
                <w:sz w:val="22"/>
                <w:szCs w:val="22"/>
              </w:rPr>
              <w:t>In-use Duration</w:t>
            </w:r>
          </w:p>
        </w:tc>
        <w:tc>
          <w:tcPr>
            <w:tcW w:w="949" w:type="pct"/>
            <w:vAlign w:val="center"/>
          </w:tcPr>
          <w:p w14:paraId="554C3CF1"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7 months</w:t>
            </w:r>
          </w:p>
        </w:tc>
        <w:tc>
          <w:tcPr>
            <w:tcW w:w="950" w:type="pct"/>
            <w:vAlign w:val="center"/>
          </w:tcPr>
          <w:p w14:paraId="68CAD12D"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8 months</w:t>
            </w:r>
          </w:p>
        </w:tc>
        <w:tc>
          <w:tcPr>
            <w:tcW w:w="950" w:type="pct"/>
            <w:vAlign w:val="center"/>
          </w:tcPr>
          <w:p w14:paraId="47C78D34"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32 months</w:t>
            </w:r>
          </w:p>
        </w:tc>
        <w:tc>
          <w:tcPr>
            <w:tcW w:w="950" w:type="pct"/>
            <w:vAlign w:val="center"/>
          </w:tcPr>
          <w:p w14:paraId="4D80E645" w14:textId="77777777" w:rsidR="007757B9" w:rsidRPr="00034542" w:rsidRDefault="007757B9" w:rsidP="00DE257C">
            <w:pPr>
              <w:spacing w:line="288" w:lineRule="auto"/>
              <w:jc w:val="center"/>
              <w:rPr>
                <w:rFonts w:ascii="Times New Roman" w:hAnsi="Times New Roman" w:cs="Times New Roman"/>
                <w:color w:val="FF0000"/>
                <w:sz w:val="22"/>
                <w:szCs w:val="22"/>
              </w:rPr>
            </w:pPr>
            <w:r w:rsidRPr="00034542">
              <w:rPr>
                <w:rFonts w:ascii="Times New Roman" w:hAnsi="Times New Roman" w:cs="Times New Roman"/>
                <w:color w:val="FF0000"/>
                <w:sz w:val="22"/>
                <w:szCs w:val="22"/>
              </w:rPr>
              <w:t>32 months</w:t>
            </w:r>
          </w:p>
        </w:tc>
      </w:tr>
      <w:tr w:rsidR="007757B9" w:rsidRPr="00034542" w14:paraId="376A13FB" w14:textId="77777777" w:rsidTr="00DE257C">
        <w:tc>
          <w:tcPr>
            <w:tcW w:w="1201" w:type="pct"/>
            <w:vAlign w:val="center"/>
          </w:tcPr>
          <w:p w14:paraId="0495DB3D"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 xml:space="preserve">Cumulative Mileage </w:t>
            </w:r>
            <w:r w:rsidRPr="00034542">
              <w:rPr>
                <w:rFonts w:ascii="Times New Roman" w:hAnsi="Times New Roman" w:cs="Times New Roman"/>
                <w:b/>
                <w:bCs/>
                <w:sz w:val="22"/>
                <w:szCs w:val="22"/>
              </w:rPr>
              <w:br/>
              <w:t>(×10</w:t>
            </w:r>
            <w:r w:rsidRPr="00034542">
              <w:rPr>
                <w:rFonts w:ascii="Times New Roman" w:hAnsi="Times New Roman" w:cs="Times New Roman"/>
                <w:b/>
                <w:bCs/>
                <w:sz w:val="22"/>
                <w:szCs w:val="22"/>
                <w:vertAlign w:val="superscript"/>
              </w:rPr>
              <w:t>3</w:t>
            </w:r>
            <w:r w:rsidRPr="00034542">
              <w:rPr>
                <w:rFonts w:ascii="Times New Roman" w:hAnsi="Times New Roman" w:cs="Times New Roman"/>
                <w:b/>
                <w:bCs/>
                <w:sz w:val="22"/>
                <w:szCs w:val="22"/>
              </w:rPr>
              <w:t xml:space="preserve"> km)</w:t>
            </w:r>
          </w:p>
        </w:tc>
        <w:tc>
          <w:tcPr>
            <w:tcW w:w="949" w:type="pct"/>
            <w:vAlign w:val="center"/>
          </w:tcPr>
          <w:p w14:paraId="04085F5F"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22.21</w:t>
            </w:r>
          </w:p>
        </w:tc>
        <w:tc>
          <w:tcPr>
            <w:tcW w:w="950" w:type="pct"/>
            <w:vAlign w:val="center"/>
          </w:tcPr>
          <w:p w14:paraId="503F796E"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34.84</w:t>
            </w:r>
          </w:p>
        </w:tc>
        <w:tc>
          <w:tcPr>
            <w:tcW w:w="950" w:type="pct"/>
            <w:vAlign w:val="center"/>
          </w:tcPr>
          <w:p w14:paraId="2E225A76"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169.50</w:t>
            </w:r>
          </w:p>
        </w:tc>
        <w:tc>
          <w:tcPr>
            <w:tcW w:w="950" w:type="pct"/>
            <w:vAlign w:val="center"/>
          </w:tcPr>
          <w:p w14:paraId="76F5311D"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188.33</w:t>
            </w:r>
          </w:p>
        </w:tc>
      </w:tr>
      <w:tr w:rsidR="007757B9" w:rsidRPr="00034542" w14:paraId="1E80F335" w14:textId="77777777" w:rsidTr="00DE257C">
        <w:tc>
          <w:tcPr>
            <w:tcW w:w="1201" w:type="pct"/>
            <w:tcBorders>
              <w:bottom w:val="single" w:sz="4" w:space="0" w:color="D1D1D1" w:themeColor="background2" w:themeShade="E6"/>
            </w:tcBorders>
            <w:vAlign w:val="center"/>
          </w:tcPr>
          <w:p w14:paraId="7B8D5421"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lastRenderedPageBreak/>
              <w:t>Gross Combined Weight Rating (GCWR, t)</w:t>
            </w:r>
          </w:p>
        </w:tc>
        <w:tc>
          <w:tcPr>
            <w:tcW w:w="949" w:type="pct"/>
            <w:tcBorders>
              <w:bottom w:val="single" w:sz="4" w:space="0" w:color="D1D1D1" w:themeColor="background2" w:themeShade="E6"/>
            </w:tcBorders>
            <w:vAlign w:val="center"/>
          </w:tcPr>
          <w:p w14:paraId="77E16EEB"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48.8</w:t>
            </w:r>
          </w:p>
        </w:tc>
        <w:tc>
          <w:tcPr>
            <w:tcW w:w="950" w:type="pct"/>
            <w:tcBorders>
              <w:bottom w:val="single" w:sz="4" w:space="0" w:color="D1D1D1" w:themeColor="background2" w:themeShade="E6"/>
            </w:tcBorders>
            <w:vAlign w:val="center"/>
          </w:tcPr>
          <w:p w14:paraId="1E69342B"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48.8</w:t>
            </w:r>
          </w:p>
        </w:tc>
        <w:tc>
          <w:tcPr>
            <w:tcW w:w="950" w:type="pct"/>
            <w:tcBorders>
              <w:bottom w:val="single" w:sz="4" w:space="0" w:color="D1D1D1" w:themeColor="background2" w:themeShade="E6"/>
            </w:tcBorders>
            <w:vAlign w:val="center"/>
          </w:tcPr>
          <w:p w14:paraId="450326C5"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41.8</w:t>
            </w:r>
          </w:p>
        </w:tc>
        <w:tc>
          <w:tcPr>
            <w:tcW w:w="950" w:type="pct"/>
            <w:tcBorders>
              <w:bottom w:val="single" w:sz="4" w:space="0" w:color="D1D1D1" w:themeColor="background2" w:themeShade="E6"/>
            </w:tcBorders>
            <w:vAlign w:val="center"/>
          </w:tcPr>
          <w:p w14:paraId="24F3228B"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41.8</w:t>
            </w:r>
          </w:p>
        </w:tc>
      </w:tr>
      <w:tr w:rsidR="007757B9" w:rsidRPr="00034542" w14:paraId="2191F7E0" w14:textId="77777777" w:rsidTr="00DE257C">
        <w:tc>
          <w:tcPr>
            <w:tcW w:w="1201" w:type="pct"/>
            <w:tcBorders>
              <w:bottom w:val="single" w:sz="4" w:space="0" w:color="D1D1D1" w:themeColor="background2" w:themeShade="E6"/>
            </w:tcBorders>
            <w:vAlign w:val="center"/>
          </w:tcPr>
          <w:p w14:paraId="53FF0162"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Rated Power</w:t>
            </w:r>
            <w:r w:rsidRPr="00034542">
              <w:rPr>
                <w:rFonts w:ascii="Times New Roman" w:hAnsi="Times New Roman" w:cs="Times New Roman"/>
                <w:b/>
                <w:bCs/>
                <w:sz w:val="22"/>
                <w:szCs w:val="22"/>
              </w:rPr>
              <w:br/>
              <w:t>(kW)</w:t>
            </w:r>
          </w:p>
        </w:tc>
        <w:tc>
          <w:tcPr>
            <w:tcW w:w="949" w:type="pct"/>
            <w:tcBorders>
              <w:bottom w:val="single" w:sz="4" w:space="0" w:color="D1D1D1" w:themeColor="background2" w:themeShade="E6"/>
            </w:tcBorders>
            <w:vAlign w:val="center"/>
          </w:tcPr>
          <w:p w14:paraId="78E4F13A"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309</w:t>
            </w:r>
          </w:p>
        </w:tc>
        <w:tc>
          <w:tcPr>
            <w:tcW w:w="950" w:type="pct"/>
            <w:tcBorders>
              <w:bottom w:val="single" w:sz="4" w:space="0" w:color="D1D1D1" w:themeColor="background2" w:themeShade="E6"/>
            </w:tcBorders>
            <w:vAlign w:val="center"/>
          </w:tcPr>
          <w:p w14:paraId="02073C1B"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397</w:t>
            </w:r>
          </w:p>
        </w:tc>
        <w:tc>
          <w:tcPr>
            <w:tcW w:w="950" w:type="pct"/>
            <w:tcBorders>
              <w:bottom w:val="single" w:sz="4" w:space="0" w:color="D1D1D1" w:themeColor="background2" w:themeShade="E6"/>
            </w:tcBorders>
            <w:vAlign w:val="center"/>
          </w:tcPr>
          <w:p w14:paraId="6A997900"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228</w:t>
            </w:r>
          </w:p>
        </w:tc>
        <w:tc>
          <w:tcPr>
            <w:tcW w:w="950" w:type="pct"/>
            <w:tcBorders>
              <w:bottom w:val="single" w:sz="4" w:space="0" w:color="D1D1D1" w:themeColor="background2" w:themeShade="E6"/>
            </w:tcBorders>
            <w:vAlign w:val="center"/>
          </w:tcPr>
          <w:p w14:paraId="1CC3E0C0"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228</w:t>
            </w:r>
          </w:p>
        </w:tc>
      </w:tr>
      <w:tr w:rsidR="00536C63" w:rsidRPr="00034542" w14:paraId="3177BE3C" w14:textId="77777777" w:rsidTr="00DE257C">
        <w:tc>
          <w:tcPr>
            <w:tcW w:w="1201" w:type="pct"/>
            <w:tcBorders>
              <w:bottom w:val="single" w:sz="8" w:space="0" w:color="auto"/>
            </w:tcBorders>
            <w:vAlign w:val="center"/>
          </w:tcPr>
          <w:p w14:paraId="77DF02D8" w14:textId="77777777" w:rsidR="007757B9" w:rsidRPr="00034542" w:rsidRDefault="007757B9" w:rsidP="00DE257C">
            <w:pPr>
              <w:spacing w:line="288" w:lineRule="auto"/>
              <w:jc w:val="center"/>
              <w:rPr>
                <w:rFonts w:ascii="Times New Roman" w:hAnsi="Times New Roman" w:cs="Times New Roman"/>
                <w:b/>
                <w:bCs/>
                <w:sz w:val="22"/>
                <w:szCs w:val="22"/>
              </w:rPr>
            </w:pPr>
            <w:r w:rsidRPr="00034542">
              <w:rPr>
                <w:rFonts w:ascii="Times New Roman" w:hAnsi="Times New Roman" w:cs="Times New Roman"/>
                <w:b/>
                <w:bCs/>
                <w:sz w:val="22"/>
                <w:szCs w:val="22"/>
              </w:rPr>
              <w:t>Displacement (L)</w:t>
            </w:r>
          </w:p>
        </w:tc>
        <w:tc>
          <w:tcPr>
            <w:tcW w:w="949" w:type="pct"/>
            <w:tcBorders>
              <w:bottom w:val="single" w:sz="8" w:space="0" w:color="auto"/>
            </w:tcBorders>
            <w:vAlign w:val="center"/>
          </w:tcPr>
          <w:p w14:paraId="417D1AB2"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11.12</w:t>
            </w:r>
          </w:p>
        </w:tc>
        <w:tc>
          <w:tcPr>
            <w:tcW w:w="950" w:type="pct"/>
            <w:tcBorders>
              <w:bottom w:val="single" w:sz="8" w:space="0" w:color="auto"/>
            </w:tcBorders>
            <w:vAlign w:val="center"/>
          </w:tcPr>
          <w:p w14:paraId="7775ECD0"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12.42</w:t>
            </w:r>
          </w:p>
        </w:tc>
        <w:tc>
          <w:tcPr>
            <w:tcW w:w="950" w:type="pct"/>
            <w:tcBorders>
              <w:bottom w:val="single" w:sz="8" w:space="0" w:color="auto"/>
            </w:tcBorders>
            <w:vAlign w:val="center"/>
          </w:tcPr>
          <w:p w14:paraId="020AD2B7"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9.73</w:t>
            </w:r>
          </w:p>
        </w:tc>
        <w:tc>
          <w:tcPr>
            <w:tcW w:w="950" w:type="pct"/>
            <w:tcBorders>
              <w:bottom w:val="single" w:sz="8" w:space="0" w:color="auto"/>
            </w:tcBorders>
            <w:vAlign w:val="center"/>
          </w:tcPr>
          <w:p w14:paraId="7442605D" w14:textId="77777777" w:rsidR="007757B9" w:rsidRPr="00034542" w:rsidRDefault="007757B9" w:rsidP="00DE257C">
            <w:pPr>
              <w:spacing w:line="288" w:lineRule="auto"/>
              <w:jc w:val="center"/>
              <w:rPr>
                <w:rFonts w:ascii="Times New Roman" w:hAnsi="Times New Roman" w:cs="Times New Roman"/>
                <w:sz w:val="22"/>
                <w:szCs w:val="22"/>
              </w:rPr>
            </w:pPr>
            <w:r w:rsidRPr="00034542">
              <w:rPr>
                <w:rFonts w:ascii="Times New Roman" w:hAnsi="Times New Roman" w:cs="Times New Roman"/>
                <w:sz w:val="22"/>
                <w:szCs w:val="22"/>
              </w:rPr>
              <w:t>9.73</w:t>
            </w:r>
          </w:p>
        </w:tc>
      </w:tr>
    </w:tbl>
    <w:p w14:paraId="74F71A7F" w14:textId="65E25EFE" w:rsidR="00295310" w:rsidRPr="00034542" w:rsidRDefault="00295310" w:rsidP="00AE2204">
      <w:pPr>
        <w:jc w:val="both"/>
        <w:rPr>
          <w:rFonts w:ascii="Times New Roman" w:hAnsi="Times New Roman" w:cs="Times New Roman"/>
          <w:sz w:val="22"/>
          <w:szCs w:val="22"/>
        </w:rPr>
      </w:pPr>
      <w:r w:rsidRPr="00034542">
        <w:rPr>
          <w:rFonts w:ascii="Times New Roman" w:hAnsi="Times New Roman" w:cs="Times New Roman"/>
          <w:sz w:val="22"/>
          <w:szCs w:val="22"/>
        </w:rPr>
        <w:t>…</w:t>
      </w:r>
    </w:p>
    <w:p w14:paraId="251BA3E5" w14:textId="62550B5B" w:rsidR="00EF6C92" w:rsidRPr="00034542" w:rsidRDefault="00536C63" w:rsidP="00AE2204">
      <w:pPr>
        <w:jc w:val="both"/>
        <w:rPr>
          <w:rFonts w:ascii="Times New Roman" w:hAnsi="Times New Roman" w:cs="Times New Roman"/>
          <w:color w:val="0000FF"/>
          <w:sz w:val="22"/>
          <w:szCs w:val="22"/>
        </w:rPr>
      </w:pPr>
      <w:r w:rsidRPr="00034542">
        <w:rPr>
          <w:rFonts w:ascii="Times New Roman" w:hAnsi="Times New Roman" w:cs="Times New Roman"/>
          <w:sz w:val="22"/>
          <w:szCs w:val="22"/>
        </w:rPr>
        <w:t>…It should be noted that existing research primarily focuses on diesel vehicles with cumulative mileage below 200,000 km. Further experiments are necessary to determine whether I/SVOC emissions from designated HDDVs with over 200,000 km of mileage continue to increase linearly or stabilize</w:t>
      </w:r>
      <w:r w:rsidR="005D5F89">
        <w:rPr>
          <w:rFonts w:ascii="Times New Roman" w:hAnsi="Times New Roman" w:cs="Times New Roman" w:hint="eastAsia"/>
          <w:color w:val="FF0000"/>
          <w:sz w:val="22"/>
          <w:szCs w:val="22"/>
        </w:rPr>
        <w:t>.</w:t>
      </w:r>
      <w:r w:rsidR="005D5F89" w:rsidRPr="005D5F89">
        <w:rPr>
          <w:rFonts w:ascii="Times New Roman" w:hAnsi="Times New Roman" w:cs="Times New Roman"/>
          <w:color w:val="FF0000"/>
          <w:sz w:val="22"/>
          <w:szCs w:val="22"/>
        </w:rPr>
        <w:t xml:space="preserve"> </w:t>
      </w:r>
      <w:bookmarkStart w:id="1" w:name="_Hlk187183039"/>
      <w:r w:rsidR="005D5F89" w:rsidRPr="00034542">
        <w:rPr>
          <w:rFonts w:ascii="Times New Roman" w:hAnsi="Times New Roman" w:cs="Times New Roman"/>
          <w:color w:val="FF0000"/>
          <w:sz w:val="22"/>
          <w:szCs w:val="22"/>
        </w:rPr>
        <w:t>Also, the brand</w:t>
      </w:r>
      <w:r w:rsidR="005D5F89">
        <w:rPr>
          <w:rFonts w:ascii="Times New Roman" w:hAnsi="Times New Roman" w:cs="Times New Roman"/>
          <w:color w:val="FF0000"/>
          <w:sz w:val="22"/>
          <w:szCs w:val="22"/>
        </w:rPr>
        <w:t>,</w:t>
      </w:r>
      <w:r w:rsidR="005D5F89" w:rsidRPr="00034542">
        <w:rPr>
          <w:rFonts w:ascii="Times New Roman" w:hAnsi="Times New Roman" w:cs="Times New Roman"/>
          <w:color w:val="FF0000"/>
          <w:sz w:val="22"/>
          <w:szCs w:val="22"/>
        </w:rPr>
        <w:t xml:space="preserve"> engine models, GCWR, and displacement of the four HDDVs were slightly different (Table 1), which might bring some uncertainty to the emission analysis results (Zeng et al., 2024; </w:t>
      </w:r>
      <w:proofErr w:type="spellStart"/>
      <w:r w:rsidR="005D5F89" w:rsidRPr="00034542">
        <w:rPr>
          <w:rFonts w:ascii="Times New Roman" w:hAnsi="Times New Roman" w:cs="Times New Roman"/>
          <w:color w:val="FF0000"/>
          <w:sz w:val="22"/>
          <w:szCs w:val="22"/>
        </w:rPr>
        <w:t>Tolouei</w:t>
      </w:r>
      <w:proofErr w:type="spellEnd"/>
      <w:r w:rsidR="005D5F89" w:rsidRPr="00034542">
        <w:rPr>
          <w:rFonts w:ascii="Times New Roman" w:hAnsi="Times New Roman" w:cs="Times New Roman"/>
          <w:color w:val="FF0000"/>
          <w:sz w:val="22"/>
          <w:szCs w:val="22"/>
        </w:rPr>
        <w:t xml:space="preserve"> and </w:t>
      </w:r>
      <w:proofErr w:type="spellStart"/>
      <w:r w:rsidR="005D5F89" w:rsidRPr="00034542">
        <w:rPr>
          <w:rFonts w:ascii="Times New Roman" w:hAnsi="Times New Roman" w:cs="Times New Roman"/>
          <w:color w:val="FF0000"/>
          <w:sz w:val="22"/>
          <w:szCs w:val="22"/>
        </w:rPr>
        <w:t>Titheridge</w:t>
      </w:r>
      <w:proofErr w:type="spellEnd"/>
      <w:r w:rsidR="005D5F89" w:rsidRPr="00034542">
        <w:rPr>
          <w:rFonts w:ascii="Times New Roman" w:hAnsi="Times New Roman" w:cs="Times New Roman"/>
          <w:color w:val="FF0000"/>
          <w:sz w:val="22"/>
          <w:szCs w:val="22"/>
        </w:rPr>
        <w:t xml:space="preserve">, 2009; </w:t>
      </w:r>
      <w:proofErr w:type="spellStart"/>
      <w:r w:rsidR="005D5F89" w:rsidRPr="00034542">
        <w:rPr>
          <w:rFonts w:ascii="Times New Roman" w:hAnsi="Times New Roman" w:cs="Times New Roman"/>
          <w:color w:val="FF0000"/>
          <w:sz w:val="22"/>
          <w:szCs w:val="22"/>
        </w:rPr>
        <w:t>Aosaf</w:t>
      </w:r>
      <w:proofErr w:type="spellEnd"/>
      <w:r w:rsidR="005D5F89" w:rsidRPr="00034542">
        <w:rPr>
          <w:rFonts w:ascii="Times New Roman" w:hAnsi="Times New Roman" w:cs="Times New Roman"/>
          <w:color w:val="FF0000"/>
          <w:sz w:val="22"/>
          <w:szCs w:val="22"/>
        </w:rPr>
        <w:t xml:space="preserve"> et al., 2022).</w:t>
      </w:r>
      <w:r w:rsidR="005D460E" w:rsidRPr="005D460E">
        <w:rPr>
          <w:rFonts w:ascii="Times New Roman" w:hAnsi="Times New Roman" w:cs="Times New Roman"/>
          <w:color w:val="FF0000"/>
          <w:sz w:val="22"/>
          <w:szCs w:val="22"/>
        </w:rPr>
        <w:t xml:space="preserve"> </w:t>
      </w:r>
      <w:r w:rsidR="005D5F89" w:rsidRPr="005D5F89">
        <w:rPr>
          <w:rFonts w:ascii="Times New Roman" w:hAnsi="Times New Roman" w:cs="Times New Roman"/>
          <w:color w:val="FF0000"/>
          <w:sz w:val="22"/>
          <w:szCs w:val="22"/>
        </w:rPr>
        <w:t>Future studies should further consider the uncertainties brought by these factors.</w:t>
      </w:r>
      <w:bookmarkEnd w:id="1"/>
      <w:r w:rsidR="00EF6C92" w:rsidRPr="00034542">
        <w:rPr>
          <w:rFonts w:ascii="Times New Roman" w:hAnsi="Times New Roman" w:cs="Times New Roman"/>
          <w:color w:val="0000FF"/>
          <w:sz w:val="22"/>
          <w:szCs w:val="22"/>
        </w:rPr>
        <w:t>”</w:t>
      </w:r>
    </w:p>
    <w:p w14:paraId="700948AA" w14:textId="09C6FC0F" w:rsidR="00EF6C92" w:rsidRPr="00034542" w:rsidRDefault="00EF6C92" w:rsidP="00AE2204">
      <w:pPr>
        <w:jc w:val="both"/>
        <w:rPr>
          <w:rFonts w:ascii="Times New Roman" w:hAnsi="Times New Roman" w:cs="Times New Roman"/>
          <w:sz w:val="22"/>
          <w:szCs w:val="22"/>
        </w:rPr>
      </w:pPr>
      <w:r w:rsidRPr="00034542">
        <w:rPr>
          <w:rFonts w:ascii="Times New Roman" w:hAnsi="Times New Roman" w:cs="Times New Roman"/>
          <w:color w:val="0000FF"/>
          <w:sz w:val="22"/>
          <w:szCs w:val="22"/>
        </w:rPr>
        <w:t xml:space="preserve">Please refer to lines </w:t>
      </w:r>
      <w:r w:rsidR="0094637A">
        <w:rPr>
          <w:rFonts w:ascii="Times New Roman" w:hAnsi="Times New Roman" w:cs="Times New Roman"/>
          <w:color w:val="0000FF"/>
          <w:sz w:val="22"/>
          <w:szCs w:val="22"/>
        </w:rPr>
        <w:t>90 and 22</w:t>
      </w:r>
      <w:r w:rsidR="00193BA1">
        <w:rPr>
          <w:rFonts w:ascii="Times New Roman" w:hAnsi="Times New Roman" w:cs="Times New Roman"/>
          <w:color w:val="0000FF"/>
          <w:sz w:val="22"/>
          <w:szCs w:val="22"/>
        </w:rPr>
        <w:t>8</w:t>
      </w:r>
      <w:r w:rsidR="0094637A">
        <w:rPr>
          <w:rFonts w:ascii="Times New Roman" w:hAnsi="Times New Roman" w:cs="Times New Roman"/>
          <w:color w:val="0000FF"/>
          <w:sz w:val="22"/>
          <w:szCs w:val="22"/>
        </w:rPr>
        <w:t>-23</w:t>
      </w:r>
      <w:r w:rsidR="00193BA1">
        <w:rPr>
          <w:rFonts w:ascii="Times New Roman" w:hAnsi="Times New Roman" w:cs="Times New Roman"/>
          <w:color w:val="0000FF"/>
          <w:sz w:val="22"/>
          <w:szCs w:val="22"/>
        </w:rPr>
        <w:t>1</w:t>
      </w:r>
      <w:r w:rsidRPr="00034542">
        <w:rPr>
          <w:rFonts w:ascii="Times New Roman" w:hAnsi="Times New Roman" w:cs="Times New Roman"/>
          <w:color w:val="0000FF"/>
          <w:sz w:val="22"/>
          <w:szCs w:val="22"/>
        </w:rPr>
        <w:t xml:space="preserve"> in the main text for details.</w:t>
      </w:r>
    </w:p>
    <w:p w14:paraId="177AB758" w14:textId="158501CA"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In Section 2.1, it is better to give the dilution ratio of the exhaust. In addition, was the temperature of the sampling pipe maintained as a certain level to reduce thermophoretic and condensational losses?</w:t>
      </w:r>
    </w:p>
    <w:p w14:paraId="157D2FA1"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7E98DF65" w14:textId="3D83EDFB"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 xml:space="preserve">Thanks for the comment. </w:t>
      </w:r>
      <w:bookmarkStart w:id="2" w:name="_Hlk187054971"/>
      <w:r w:rsidR="00EF6C92" w:rsidRPr="00034542">
        <w:rPr>
          <w:rFonts w:ascii="Times New Roman" w:hAnsi="Times New Roman" w:cs="Times New Roman"/>
          <w:color w:val="0000FF"/>
          <w:sz w:val="22"/>
          <w:szCs w:val="22"/>
        </w:rPr>
        <w:t xml:space="preserve">The </w:t>
      </w:r>
      <w:r w:rsidR="00350D40" w:rsidRPr="00034542">
        <w:rPr>
          <w:rFonts w:ascii="Times New Roman" w:hAnsi="Times New Roman" w:cs="Times New Roman"/>
          <w:color w:val="0000FF"/>
          <w:sz w:val="22"/>
          <w:szCs w:val="22"/>
        </w:rPr>
        <w:t xml:space="preserve">dilution ratio of the exhaust was about </w:t>
      </w:r>
      <w:r w:rsidR="00D86A6D" w:rsidRPr="00034542">
        <w:rPr>
          <w:rFonts w:ascii="Times New Roman" w:hAnsi="Times New Roman" w:cs="Times New Roman"/>
          <w:color w:val="0000FF"/>
          <w:sz w:val="22"/>
          <w:szCs w:val="22"/>
        </w:rPr>
        <w:t>40 of the exhaust</w:t>
      </w:r>
      <w:r w:rsidR="00350D40" w:rsidRPr="00034542">
        <w:rPr>
          <w:rFonts w:ascii="Times New Roman" w:hAnsi="Times New Roman" w:cs="Times New Roman"/>
          <w:color w:val="0000FF"/>
          <w:sz w:val="22"/>
          <w:szCs w:val="22"/>
        </w:rPr>
        <w:t xml:space="preserve">. </w:t>
      </w:r>
      <w:r w:rsidR="003379AB" w:rsidRPr="003379AB">
        <w:rPr>
          <w:rFonts w:ascii="Times New Roman" w:hAnsi="Times New Roman" w:cs="Times New Roman"/>
          <w:color w:val="0000FF"/>
          <w:sz w:val="22"/>
          <w:szCs w:val="22"/>
        </w:rPr>
        <w:t>CVS is a constant temperature dilution system that stabilizes the airflow within the sampling channel at 25°C</w:t>
      </w:r>
      <w:r w:rsidR="00320E99" w:rsidRPr="00034542">
        <w:rPr>
          <w:rFonts w:ascii="Times New Roman" w:hAnsi="Times New Roman" w:cs="Times New Roman"/>
          <w:color w:val="0000FF"/>
          <w:sz w:val="22"/>
          <w:szCs w:val="22"/>
        </w:rPr>
        <w:t xml:space="preserve"> to reduce thermophoretic and condensational losses</w:t>
      </w:r>
      <w:r w:rsidR="007F0485" w:rsidRPr="00034542">
        <w:rPr>
          <w:rFonts w:ascii="Times New Roman" w:hAnsi="Times New Roman" w:cs="Times New Roman"/>
          <w:color w:val="0000FF"/>
          <w:sz w:val="22"/>
          <w:szCs w:val="22"/>
        </w:rPr>
        <w:t>.</w:t>
      </w:r>
      <w:bookmarkEnd w:id="2"/>
      <w:r w:rsidR="00051E38" w:rsidRPr="00034542">
        <w:rPr>
          <w:rFonts w:ascii="Times New Roman" w:hAnsi="Times New Roman" w:cs="Times New Roman"/>
          <w:color w:val="0000FF"/>
          <w:sz w:val="22"/>
          <w:szCs w:val="22"/>
        </w:rPr>
        <w:t xml:space="preserve"> </w:t>
      </w:r>
    </w:p>
    <w:p w14:paraId="0E74BC0F" w14:textId="52AE0AA7" w:rsidR="007456C5" w:rsidRPr="00034542" w:rsidRDefault="007456C5"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w:t>
      </w:r>
      <w:r w:rsidR="00320E99" w:rsidRPr="00034542">
        <w:rPr>
          <w:rFonts w:ascii="Times New Roman" w:hAnsi="Times New Roman" w:cs="Times New Roman"/>
          <w:sz w:val="22"/>
          <w:szCs w:val="22"/>
        </w:rPr>
        <w:t>Each CHTC-TT lasts 1800 seconds, with an average speed of 46.6 km·h</w:t>
      </w:r>
      <w:r w:rsidR="00320E99" w:rsidRPr="00034542">
        <w:rPr>
          <w:rFonts w:ascii="Times New Roman" w:hAnsi="Times New Roman" w:cs="Times New Roman"/>
          <w:sz w:val="22"/>
          <w:szCs w:val="22"/>
          <w:vertAlign w:val="superscript"/>
        </w:rPr>
        <w:t>-1</w:t>
      </w:r>
      <w:r w:rsidR="00320E99" w:rsidRPr="00034542">
        <w:rPr>
          <w:rFonts w:ascii="Times New Roman" w:hAnsi="Times New Roman" w:cs="Times New Roman"/>
          <w:sz w:val="22"/>
          <w:szCs w:val="22"/>
        </w:rPr>
        <w:t xml:space="preserve"> and a maximum speed of 88 km·h</w:t>
      </w:r>
      <w:r w:rsidR="00320E99" w:rsidRPr="00034542">
        <w:rPr>
          <w:rFonts w:ascii="Times New Roman" w:hAnsi="Times New Roman" w:cs="Times New Roman"/>
          <w:sz w:val="22"/>
          <w:szCs w:val="22"/>
          <w:vertAlign w:val="superscript"/>
        </w:rPr>
        <w:t>-1</w:t>
      </w:r>
      <w:r w:rsidR="00320E99" w:rsidRPr="00034542">
        <w:rPr>
          <w:rFonts w:ascii="Times New Roman" w:hAnsi="Times New Roman" w:cs="Times New Roman"/>
          <w:sz w:val="22"/>
          <w:szCs w:val="22"/>
        </w:rPr>
        <w:t xml:space="preserve"> (Fig. S1). When the vehicles were driven at the speed specified by the CHTC-TT on the dynamometer, the emitted exhaust from tailpipes was diluted in the constant volume sampler (CVS). </w:t>
      </w:r>
      <w:bookmarkStart w:id="3" w:name="OLE_LINK2"/>
      <w:r w:rsidR="00320E99" w:rsidRPr="00034542">
        <w:rPr>
          <w:rFonts w:ascii="Times New Roman" w:hAnsi="Times New Roman" w:cs="Times New Roman"/>
          <w:color w:val="FF0000"/>
          <w:sz w:val="22"/>
          <w:szCs w:val="22"/>
        </w:rPr>
        <w:t xml:space="preserve">The exhaust dilution ratio was about 40. </w:t>
      </w:r>
      <w:r w:rsidR="009C6B93" w:rsidRPr="009C6B93">
        <w:rPr>
          <w:rFonts w:ascii="Times New Roman" w:hAnsi="Times New Roman" w:cs="Times New Roman"/>
          <w:color w:val="FF0000"/>
          <w:sz w:val="22"/>
          <w:szCs w:val="22"/>
        </w:rPr>
        <w:t>The CVS system maintains the airflow of the diluted exhaust</w:t>
      </w:r>
      <w:r w:rsidR="009C6B93">
        <w:rPr>
          <w:rFonts w:ascii="Times New Roman" w:hAnsi="Times New Roman" w:cs="Times New Roman" w:hint="eastAsia"/>
          <w:color w:val="FF0000"/>
          <w:sz w:val="22"/>
          <w:szCs w:val="22"/>
        </w:rPr>
        <w:t>s</w:t>
      </w:r>
      <w:r w:rsidR="009C6B93" w:rsidRPr="009C6B93">
        <w:rPr>
          <w:rFonts w:ascii="Times New Roman" w:hAnsi="Times New Roman" w:cs="Times New Roman"/>
          <w:color w:val="FF0000"/>
          <w:sz w:val="22"/>
          <w:szCs w:val="22"/>
        </w:rPr>
        <w:t xml:space="preserve"> at 25°C to avoid </w:t>
      </w:r>
      <w:r w:rsidR="00320E99" w:rsidRPr="00034542">
        <w:rPr>
          <w:rFonts w:ascii="Times New Roman" w:hAnsi="Times New Roman" w:cs="Times New Roman"/>
          <w:color w:val="FF0000"/>
          <w:sz w:val="22"/>
          <w:szCs w:val="22"/>
        </w:rPr>
        <w:t>thermophoretic and condensational losses.</w:t>
      </w:r>
      <w:bookmarkEnd w:id="3"/>
      <w:r w:rsidR="00320E99" w:rsidRPr="00034542">
        <w:rPr>
          <w:rFonts w:ascii="Times New Roman" w:hAnsi="Times New Roman" w:cs="Times New Roman"/>
          <w:sz w:val="22"/>
          <w:szCs w:val="22"/>
        </w:rPr>
        <w:t xml:space="preserve"> CO</w:t>
      </w:r>
      <w:r w:rsidR="00320E99" w:rsidRPr="00034542">
        <w:rPr>
          <w:rFonts w:ascii="Times New Roman" w:hAnsi="Times New Roman" w:cs="Times New Roman"/>
          <w:sz w:val="22"/>
          <w:szCs w:val="22"/>
          <w:vertAlign w:val="subscript"/>
        </w:rPr>
        <w:t>2</w:t>
      </w:r>
      <w:r w:rsidR="00320E99" w:rsidRPr="00034542">
        <w:rPr>
          <w:rFonts w:ascii="Times New Roman" w:hAnsi="Times New Roman" w:cs="Times New Roman"/>
          <w:sz w:val="22"/>
          <w:szCs w:val="22"/>
        </w:rPr>
        <w:t>, CO, total hydrocarbons (THC), and NO</w:t>
      </w:r>
      <w:r w:rsidR="00320E99" w:rsidRPr="00034542">
        <w:rPr>
          <w:rFonts w:ascii="Times New Roman" w:hAnsi="Times New Roman" w:cs="Times New Roman"/>
          <w:i/>
          <w:iCs/>
          <w:sz w:val="22"/>
          <w:szCs w:val="22"/>
          <w:vertAlign w:val="subscript"/>
        </w:rPr>
        <w:t>x</w:t>
      </w:r>
      <w:r w:rsidR="00320E99" w:rsidRPr="00034542">
        <w:rPr>
          <w:rFonts w:ascii="Times New Roman" w:hAnsi="Times New Roman" w:cs="Times New Roman"/>
          <w:sz w:val="22"/>
          <w:szCs w:val="22"/>
        </w:rPr>
        <w:t xml:space="preserve"> from the diluted exhaust were detected by the real-time gas analyzer module (MEXA-7400HLE, HORIBA, Japan) provided by the CATARC, and a series of offline sampling test samples were also collected from the CVS.</w:t>
      </w:r>
      <w:r w:rsidRPr="00034542">
        <w:rPr>
          <w:rFonts w:ascii="Times New Roman" w:hAnsi="Times New Roman" w:cs="Times New Roman"/>
          <w:color w:val="0000FF"/>
          <w:sz w:val="22"/>
          <w:szCs w:val="22"/>
        </w:rPr>
        <w:t>”</w:t>
      </w:r>
    </w:p>
    <w:p w14:paraId="27C65C7A" w14:textId="511C860F" w:rsidR="007456C5" w:rsidRPr="00034542" w:rsidRDefault="007456C5" w:rsidP="00AE2204">
      <w:pPr>
        <w:jc w:val="both"/>
        <w:rPr>
          <w:rFonts w:ascii="Times New Roman" w:hAnsi="Times New Roman" w:cs="Times New Roman"/>
          <w:sz w:val="22"/>
          <w:szCs w:val="22"/>
        </w:rPr>
      </w:pPr>
      <w:r w:rsidRPr="00034542">
        <w:rPr>
          <w:rFonts w:ascii="Times New Roman" w:hAnsi="Times New Roman" w:cs="Times New Roman"/>
          <w:color w:val="0000FF"/>
          <w:sz w:val="22"/>
          <w:szCs w:val="22"/>
        </w:rPr>
        <w:t xml:space="preserve">Please refer to lines </w:t>
      </w:r>
      <w:r w:rsidR="0094637A">
        <w:rPr>
          <w:rFonts w:ascii="Times New Roman" w:hAnsi="Times New Roman" w:cs="Times New Roman"/>
          <w:color w:val="0000FF"/>
          <w:sz w:val="22"/>
          <w:szCs w:val="22"/>
        </w:rPr>
        <w:t>93</w:t>
      </w:r>
      <w:r w:rsidRPr="00034542">
        <w:rPr>
          <w:rFonts w:ascii="Times New Roman" w:hAnsi="Times New Roman" w:cs="Times New Roman"/>
          <w:color w:val="0000FF"/>
          <w:sz w:val="22"/>
          <w:szCs w:val="22"/>
        </w:rPr>
        <w:t>-</w:t>
      </w:r>
      <w:r w:rsidR="0094637A">
        <w:rPr>
          <w:rFonts w:ascii="Times New Roman" w:hAnsi="Times New Roman" w:cs="Times New Roman"/>
          <w:color w:val="0000FF"/>
          <w:sz w:val="22"/>
          <w:szCs w:val="22"/>
        </w:rPr>
        <w:t>9</w:t>
      </w:r>
      <w:r w:rsidR="00193BA1">
        <w:rPr>
          <w:rFonts w:ascii="Times New Roman" w:hAnsi="Times New Roman" w:cs="Times New Roman"/>
          <w:color w:val="0000FF"/>
          <w:sz w:val="22"/>
          <w:szCs w:val="22"/>
        </w:rPr>
        <w:t>4</w:t>
      </w:r>
      <w:r w:rsidRPr="00034542">
        <w:rPr>
          <w:rFonts w:ascii="Times New Roman" w:hAnsi="Times New Roman" w:cs="Times New Roman"/>
          <w:color w:val="0000FF"/>
          <w:sz w:val="22"/>
          <w:szCs w:val="22"/>
        </w:rPr>
        <w:t xml:space="preserve"> in the main text for details.</w:t>
      </w:r>
    </w:p>
    <w:p w14:paraId="59D85A2C" w14:textId="7F62C360"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 xml:space="preserve">In Section 2.2, the authors describe the method to remove effects of absorption on the quartz filter when calculating the </w:t>
      </w:r>
      <w:proofErr w:type="gramStart"/>
      <w:r w:rsidRPr="00034542">
        <w:rPr>
          <w:rFonts w:ascii="Times New Roman" w:hAnsi="Times New Roman" w:cs="Times New Roman"/>
          <w:sz w:val="22"/>
          <w:szCs w:val="22"/>
        </w:rPr>
        <w:t>total</w:t>
      </w:r>
      <w:proofErr w:type="gramEnd"/>
      <w:r w:rsidRPr="00034542">
        <w:rPr>
          <w:rFonts w:ascii="Times New Roman" w:hAnsi="Times New Roman" w:cs="Times New Roman"/>
          <w:sz w:val="22"/>
          <w:szCs w:val="22"/>
        </w:rPr>
        <w:t xml:space="preserve"> I/SVOCs. The gas phase of I/SVOCs are collected after a PTFE filter, but the separation of gas and particle I/SVOCs after the PTFE may break the equilibrium of gas/particle I/SVOCs and lead to evaporation of particle I/SVOCs, which may overestimate the </w:t>
      </w:r>
      <w:proofErr w:type="spellStart"/>
      <w:r w:rsidRPr="00034542">
        <w:rPr>
          <w:rFonts w:ascii="Times New Roman" w:hAnsi="Times New Roman" w:cs="Times New Roman"/>
          <w:sz w:val="22"/>
          <w:szCs w:val="22"/>
        </w:rPr>
        <w:t>Qgas</w:t>
      </w:r>
      <w:proofErr w:type="spellEnd"/>
      <w:r w:rsidRPr="00034542">
        <w:rPr>
          <w:rFonts w:ascii="Times New Roman" w:hAnsi="Times New Roman" w:cs="Times New Roman"/>
          <w:sz w:val="22"/>
          <w:szCs w:val="22"/>
        </w:rPr>
        <w:t>. It is better to provide some discussion on the uncertainty of this method.</w:t>
      </w:r>
    </w:p>
    <w:p w14:paraId="2319F882"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2294AF2F" w14:textId="77777777" w:rsidR="00383DCE" w:rsidRDefault="00383DCE" w:rsidP="00AE2204">
      <w:pPr>
        <w:jc w:val="both"/>
        <w:rPr>
          <w:rFonts w:ascii="Times New Roman" w:hAnsi="Times New Roman" w:cs="Times New Roman"/>
          <w:color w:val="0000FF"/>
          <w:sz w:val="22"/>
          <w:szCs w:val="22"/>
        </w:rPr>
      </w:pPr>
    </w:p>
    <w:p w14:paraId="365F5264" w14:textId="299C0112" w:rsidR="00AE2204" w:rsidRPr="00034542" w:rsidRDefault="00383DCE" w:rsidP="00AE2204">
      <w:pPr>
        <w:jc w:val="both"/>
        <w:rPr>
          <w:rFonts w:ascii="Times New Roman" w:hAnsi="Times New Roman" w:cs="Times New Roman"/>
          <w:color w:val="0000FF"/>
          <w:sz w:val="22"/>
          <w:szCs w:val="22"/>
        </w:rPr>
      </w:pPr>
      <w:r w:rsidRPr="00383DCE">
        <w:rPr>
          <w:rFonts w:ascii="Times New Roman" w:hAnsi="Times New Roman" w:cs="Times New Roman"/>
          <w:color w:val="0000FF"/>
          <w:sz w:val="22"/>
          <w:szCs w:val="22"/>
        </w:rPr>
        <w:lastRenderedPageBreak/>
        <w:t xml:space="preserve">Suggestion taken. We added the following text in line </w:t>
      </w:r>
      <w:r>
        <w:rPr>
          <w:rFonts w:ascii="Times New Roman" w:hAnsi="Times New Roman" w:cs="Times New Roman"/>
          <w:color w:val="0000FF"/>
          <w:sz w:val="22"/>
          <w:szCs w:val="22"/>
        </w:rPr>
        <w:t>107</w:t>
      </w:r>
      <w:r w:rsidRPr="00034542">
        <w:rPr>
          <w:rFonts w:ascii="Times New Roman" w:hAnsi="Times New Roman" w:cs="Times New Roman"/>
          <w:color w:val="0000FF"/>
          <w:sz w:val="22"/>
          <w:szCs w:val="22"/>
        </w:rPr>
        <w:t>-</w:t>
      </w:r>
      <w:r>
        <w:rPr>
          <w:rFonts w:ascii="Times New Roman" w:hAnsi="Times New Roman" w:cs="Times New Roman"/>
          <w:color w:val="0000FF"/>
          <w:sz w:val="22"/>
          <w:szCs w:val="22"/>
        </w:rPr>
        <w:t>112</w:t>
      </w:r>
      <w:r w:rsidRPr="00383DCE">
        <w:rPr>
          <w:rFonts w:ascii="Times New Roman" w:hAnsi="Times New Roman" w:cs="Times New Roman"/>
          <w:color w:val="0000FF"/>
          <w:sz w:val="22"/>
          <w:szCs w:val="22"/>
        </w:rPr>
        <w:t xml:space="preserve"> to address this issue in the revised manuscript</w:t>
      </w:r>
      <w:r w:rsidR="00051E38" w:rsidRPr="00034542">
        <w:rPr>
          <w:rFonts w:ascii="Times New Roman" w:hAnsi="Times New Roman" w:cs="Times New Roman"/>
          <w:color w:val="0000FF"/>
          <w:sz w:val="22"/>
          <w:szCs w:val="22"/>
        </w:rPr>
        <w:t>:</w:t>
      </w:r>
    </w:p>
    <w:p w14:paraId="213C4B56" w14:textId="4B2DE5AB" w:rsidR="007456C5" w:rsidRPr="00034542" w:rsidRDefault="007456C5" w:rsidP="007456C5">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w:t>
      </w:r>
      <w:r w:rsidR="007A5858" w:rsidRPr="00034542">
        <w:rPr>
          <w:rFonts w:ascii="Times New Roman" w:hAnsi="Times New Roman" w:cs="Times New Roman"/>
          <w:color w:val="0000FF"/>
          <w:sz w:val="22"/>
          <w:szCs w:val="22"/>
        </w:rPr>
        <w:t>…</w:t>
      </w:r>
      <w:r w:rsidR="007A5858" w:rsidRPr="00034542">
        <w:rPr>
          <w:rFonts w:ascii="Times New Roman" w:hAnsi="Times New Roman" w:cs="Times New Roman"/>
          <w:sz w:val="22"/>
          <w:szCs w:val="22"/>
        </w:rPr>
        <w:t xml:space="preserve">the total I/SVOC results in this paper were gaseous I/SVOCs collected by TA tubes plus particulate I/SVOCs collected by quartz filters after deducting artifacts (total I/SVOCs = TA + (1 - 32%) × </w:t>
      </w:r>
      <w:proofErr w:type="spellStart"/>
      <w:r w:rsidR="007A5858" w:rsidRPr="00034542">
        <w:rPr>
          <w:rFonts w:ascii="Times New Roman" w:hAnsi="Times New Roman" w:cs="Times New Roman"/>
          <w:sz w:val="22"/>
          <w:szCs w:val="22"/>
        </w:rPr>
        <w:t>Q</w:t>
      </w:r>
      <w:r w:rsidR="007A5858" w:rsidRPr="00034542">
        <w:rPr>
          <w:rFonts w:ascii="Times New Roman" w:hAnsi="Times New Roman" w:cs="Times New Roman"/>
          <w:sz w:val="22"/>
          <w:szCs w:val="22"/>
          <w:vertAlign w:val="subscript"/>
        </w:rPr>
        <w:t>total</w:t>
      </w:r>
      <w:proofErr w:type="spellEnd"/>
      <w:r w:rsidR="007A5858" w:rsidRPr="00034542">
        <w:rPr>
          <w:rFonts w:ascii="Times New Roman" w:hAnsi="Times New Roman" w:cs="Times New Roman"/>
          <w:sz w:val="22"/>
          <w:szCs w:val="22"/>
        </w:rPr>
        <w:t xml:space="preserve">). </w:t>
      </w:r>
      <w:bookmarkStart w:id="4" w:name="_Hlk187135787"/>
      <w:bookmarkStart w:id="5" w:name="OLE_LINK1"/>
      <w:r w:rsidR="007A5858" w:rsidRPr="00034542">
        <w:rPr>
          <w:rFonts w:ascii="Times New Roman" w:hAnsi="Times New Roman" w:cs="Times New Roman"/>
          <w:color w:val="FF0000"/>
          <w:sz w:val="22"/>
          <w:szCs w:val="22"/>
        </w:rPr>
        <w:t>Notably,</w:t>
      </w:r>
      <w:bookmarkEnd w:id="4"/>
      <w:r w:rsidR="00383DCE" w:rsidRPr="00383DCE">
        <w:rPr>
          <w:rFonts w:ascii="Times New Roman" w:hAnsi="Times New Roman" w:cs="Times New Roman"/>
          <w:color w:val="FF0000"/>
          <w:sz w:val="22"/>
          <w:szCs w:val="22"/>
        </w:rPr>
        <w:t xml:space="preserve"> the gas phase of I/SVOCs was collected after passing through a PTFE filter, and the separation of gas and particle I/SVOCs beyond the PTFE filter may disrupt the equilibrium between them. Cheng et al. (2010) evaluated the collection artifacts of organic carbon using various quartz filter sampling methods and found that about 10% of the </w:t>
      </w:r>
      <w:proofErr w:type="spellStart"/>
      <w:r w:rsidR="00383DCE" w:rsidRPr="00383DCE">
        <w:rPr>
          <w:rFonts w:ascii="Times New Roman" w:hAnsi="Times New Roman" w:cs="Times New Roman"/>
          <w:color w:val="FF0000"/>
          <w:sz w:val="22"/>
          <w:szCs w:val="22"/>
        </w:rPr>
        <w:t>Qgas</w:t>
      </w:r>
      <w:proofErr w:type="spellEnd"/>
      <w:r w:rsidR="00383DCE" w:rsidRPr="00383DCE">
        <w:rPr>
          <w:rFonts w:ascii="Times New Roman" w:hAnsi="Times New Roman" w:cs="Times New Roman"/>
          <w:color w:val="FF0000"/>
          <w:sz w:val="22"/>
          <w:szCs w:val="22"/>
        </w:rPr>
        <w:t xml:space="preserve"> derived from volatilized particulate organic carbon by the sampling method used in this study. Therefore, the </w:t>
      </w:r>
      <w:proofErr w:type="spellStart"/>
      <w:r w:rsidR="00383DCE" w:rsidRPr="00383DCE">
        <w:rPr>
          <w:rFonts w:ascii="Times New Roman" w:hAnsi="Times New Roman" w:cs="Times New Roman"/>
          <w:color w:val="FF0000"/>
          <w:sz w:val="22"/>
          <w:szCs w:val="22"/>
        </w:rPr>
        <w:t>Qgas</w:t>
      </w:r>
      <w:proofErr w:type="spellEnd"/>
      <w:r w:rsidR="00383DCE" w:rsidRPr="00383DCE">
        <w:rPr>
          <w:rFonts w:ascii="Times New Roman" w:hAnsi="Times New Roman" w:cs="Times New Roman"/>
          <w:color w:val="FF0000"/>
          <w:sz w:val="22"/>
          <w:szCs w:val="22"/>
        </w:rPr>
        <w:t xml:space="preserve"> in this study may be slightly overestimated.</w:t>
      </w:r>
      <w:r w:rsidR="007A5858" w:rsidRPr="00034542">
        <w:rPr>
          <w:rFonts w:ascii="Times New Roman" w:hAnsi="Times New Roman" w:cs="Times New Roman"/>
          <w:sz w:val="22"/>
          <w:szCs w:val="22"/>
        </w:rPr>
        <w:t xml:space="preserve"> </w:t>
      </w:r>
      <w:bookmarkEnd w:id="5"/>
      <w:r w:rsidR="007A5858" w:rsidRPr="00034542">
        <w:rPr>
          <w:rFonts w:ascii="Times New Roman" w:hAnsi="Times New Roman" w:cs="Times New Roman"/>
          <w:sz w:val="22"/>
          <w:szCs w:val="22"/>
        </w:rPr>
        <w:t>The TA tubes were prebaked at 320℃ for 2 hours</w:t>
      </w:r>
      <w:r w:rsidR="007A5858" w:rsidRPr="00034542">
        <w:rPr>
          <w:rFonts w:ascii="Times New Roman" w:hAnsi="Times New Roman" w:cs="Times New Roman"/>
          <w:color w:val="0000FF"/>
          <w:sz w:val="22"/>
          <w:szCs w:val="22"/>
        </w:rPr>
        <w:t>…</w:t>
      </w:r>
      <w:r w:rsidRPr="00034542">
        <w:rPr>
          <w:rFonts w:ascii="Times New Roman" w:hAnsi="Times New Roman" w:cs="Times New Roman"/>
          <w:color w:val="0000FF"/>
          <w:sz w:val="22"/>
          <w:szCs w:val="22"/>
        </w:rPr>
        <w:t>”</w:t>
      </w:r>
    </w:p>
    <w:p w14:paraId="5C083475" w14:textId="04EA189F"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The sentence “…by He et al. (2022b)” in line 132 is missing a period at the end. Please correct this.</w:t>
      </w:r>
    </w:p>
    <w:p w14:paraId="406217F1"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0E3D4462" w14:textId="496D68A5" w:rsidR="00AE2204" w:rsidRPr="00034542" w:rsidRDefault="004355FF" w:rsidP="00AE2204">
      <w:pPr>
        <w:jc w:val="both"/>
        <w:rPr>
          <w:rFonts w:ascii="Times New Roman" w:hAnsi="Times New Roman" w:cs="Times New Roman"/>
          <w:sz w:val="22"/>
          <w:szCs w:val="22"/>
        </w:rPr>
      </w:pPr>
      <w:r w:rsidRPr="004355FF">
        <w:rPr>
          <w:rFonts w:ascii="Times New Roman" w:hAnsi="Times New Roman" w:cs="Times New Roman"/>
          <w:color w:val="0000FF"/>
          <w:sz w:val="22"/>
          <w:szCs w:val="22"/>
        </w:rPr>
        <w:t>Thanks for pointing this out.</w:t>
      </w:r>
      <w:r w:rsidR="00AE2204" w:rsidRPr="00034542">
        <w:rPr>
          <w:rFonts w:ascii="Times New Roman" w:hAnsi="Times New Roman" w:cs="Times New Roman"/>
          <w:color w:val="0000FF"/>
          <w:sz w:val="22"/>
          <w:szCs w:val="22"/>
        </w:rPr>
        <w:t xml:space="preserve"> </w:t>
      </w:r>
      <w:r w:rsidR="00051E38" w:rsidRPr="00034542">
        <w:rPr>
          <w:rFonts w:ascii="Times New Roman" w:hAnsi="Times New Roman" w:cs="Times New Roman"/>
          <w:color w:val="0000FF"/>
          <w:sz w:val="22"/>
          <w:szCs w:val="22"/>
        </w:rPr>
        <w:t xml:space="preserve">The error here has been corrected. Please refer to </w:t>
      </w:r>
      <w:r w:rsidR="007456C5" w:rsidRPr="00034542">
        <w:rPr>
          <w:rFonts w:ascii="Times New Roman" w:hAnsi="Times New Roman" w:cs="Times New Roman"/>
          <w:color w:val="0000FF"/>
          <w:sz w:val="22"/>
          <w:szCs w:val="22"/>
        </w:rPr>
        <w:t xml:space="preserve">line </w:t>
      </w:r>
      <w:r w:rsidR="0094637A">
        <w:rPr>
          <w:rFonts w:ascii="Times New Roman" w:hAnsi="Times New Roman" w:cs="Times New Roman"/>
          <w:color w:val="0000FF"/>
          <w:sz w:val="22"/>
          <w:szCs w:val="22"/>
        </w:rPr>
        <w:t>13</w:t>
      </w:r>
      <w:r w:rsidR="00193BA1">
        <w:rPr>
          <w:rFonts w:ascii="Times New Roman" w:hAnsi="Times New Roman" w:cs="Times New Roman"/>
          <w:color w:val="0000FF"/>
          <w:sz w:val="22"/>
          <w:szCs w:val="22"/>
        </w:rPr>
        <w:t>3</w:t>
      </w:r>
      <w:r w:rsidR="00051E38" w:rsidRPr="00034542">
        <w:rPr>
          <w:rFonts w:ascii="Times New Roman" w:hAnsi="Times New Roman" w:cs="Times New Roman"/>
          <w:color w:val="0000FF"/>
          <w:sz w:val="22"/>
          <w:szCs w:val="22"/>
        </w:rPr>
        <w:t xml:space="preserve"> in the main text.</w:t>
      </w:r>
    </w:p>
    <w:p w14:paraId="41D14A9D" w14:textId="4B557E81"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Some phrases should use standard abbreviations. For instance, the phrase “...as shown in Figure 1” in line 177 should be revised to “...as shown in Fig. 1.” Ensure consistent abbreviation usage throughout the manuscript.</w:t>
      </w:r>
    </w:p>
    <w:p w14:paraId="5E9D3755" w14:textId="77777777" w:rsidR="00AE2204" w:rsidRPr="00034542" w:rsidRDefault="00AE2204" w:rsidP="00AE2204">
      <w:pPr>
        <w:jc w:val="both"/>
        <w:rPr>
          <w:rFonts w:ascii="Times New Roman" w:hAnsi="Times New Roman" w:cs="Times New Roman"/>
          <w:color w:val="0000FF"/>
          <w:sz w:val="22"/>
          <w:szCs w:val="22"/>
        </w:rPr>
      </w:pPr>
      <w:bookmarkStart w:id="6" w:name="_Hlk186841082"/>
      <w:r w:rsidRPr="00034542">
        <w:rPr>
          <w:rFonts w:ascii="Times New Roman" w:hAnsi="Times New Roman" w:cs="Times New Roman"/>
          <w:color w:val="0000FF"/>
          <w:sz w:val="22"/>
          <w:szCs w:val="22"/>
        </w:rPr>
        <w:t>Response:</w:t>
      </w:r>
    </w:p>
    <w:bookmarkEnd w:id="6"/>
    <w:p w14:paraId="5060AF77" w14:textId="0F046855" w:rsidR="00AE2204" w:rsidRPr="00034542" w:rsidRDefault="004355FF" w:rsidP="00AE2204">
      <w:pPr>
        <w:jc w:val="both"/>
        <w:rPr>
          <w:rFonts w:ascii="Times New Roman" w:hAnsi="Times New Roman" w:cs="Times New Roman"/>
          <w:sz w:val="22"/>
          <w:szCs w:val="22"/>
        </w:rPr>
      </w:pPr>
      <w:r w:rsidRPr="004355FF">
        <w:rPr>
          <w:rFonts w:ascii="Times New Roman" w:hAnsi="Times New Roman" w:cs="Times New Roman"/>
          <w:color w:val="0000FF"/>
          <w:sz w:val="22"/>
          <w:szCs w:val="22"/>
        </w:rPr>
        <w:t>Thanks for pointing this out.</w:t>
      </w:r>
      <w:r w:rsidR="00AE2204" w:rsidRPr="00034542">
        <w:rPr>
          <w:rFonts w:ascii="Times New Roman" w:hAnsi="Times New Roman" w:cs="Times New Roman"/>
          <w:color w:val="0000FF"/>
          <w:sz w:val="22"/>
          <w:szCs w:val="22"/>
        </w:rPr>
        <w:t xml:space="preserve"> </w:t>
      </w:r>
      <w:r w:rsidR="00051E38" w:rsidRPr="00034542">
        <w:rPr>
          <w:rFonts w:ascii="Times New Roman" w:hAnsi="Times New Roman" w:cs="Times New Roman"/>
          <w:color w:val="0000FF"/>
          <w:sz w:val="22"/>
          <w:szCs w:val="22"/>
        </w:rPr>
        <w:t>Fig</w:t>
      </w:r>
      <w:r w:rsidR="00557650" w:rsidRPr="00034542">
        <w:rPr>
          <w:rFonts w:ascii="Times New Roman" w:hAnsi="Times New Roman" w:cs="Times New Roman"/>
          <w:color w:val="0000FF"/>
          <w:sz w:val="22"/>
          <w:szCs w:val="22"/>
        </w:rPr>
        <w:t xml:space="preserve">ure </w:t>
      </w:r>
      <w:r w:rsidR="00051E38" w:rsidRPr="00034542">
        <w:rPr>
          <w:rFonts w:ascii="Times New Roman" w:hAnsi="Times New Roman" w:cs="Times New Roman"/>
          <w:color w:val="0000FF"/>
          <w:sz w:val="22"/>
          <w:szCs w:val="22"/>
        </w:rPr>
        <w:t xml:space="preserve">1 in the original manuscript has been removed </w:t>
      </w:r>
      <w:r w:rsidR="00557650" w:rsidRPr="00034542">
        <w:rPr>
          <w:rFonts w:ascii="Times New Roman" w:hAnsi="Times New Roman" w:cs="Times New Roman"/>
          <w:color w:val="0000FF"/>
          <w:sz w:val="22"/>
          <w:szCs w:val="22"/>
        </w:rPr>
        <w:t xml:space="preserve">based on the opinion of Referee #1 and has been revised as Fig. S4 in SI. Therefore, the sentence has been revised to “… </w:t>
      </w:r>
      <w:r w:rsidR="00557650" w:rsidRPr="004355FF">
        <w:rPr>
          <w:rFonts w:ascii="Times New Roman" w:hAnsi="Times New Roman" w:cs="Times New Roman"/>
          <w:sz w:val="22"/>
          <w:szCs w:val="22"/>
        </w:rPr>
        <w:t>as shown in</w:t>
      </w:r>
      <w:r w:rsidR="00557650" w:rsidRPr="00034542">
        <w:rPr>
          <w:rFonts w:ascii="Times New Roman" w:hAnsi="Times New Roman" w:cs="Times New Roman"/>
          <w:color w:val="0000FF"/>
          <w:sz w:val="22"/>
          <w:szCs w:val="22"/>
        </w:rPr>
        <w:t xml:space="preserve"> </w:t>
      </w:r>
      <w:r w:rsidR="00557650" w:rsidRPr="006A36DB">
        <w:rPr>
          <w:rFonts w:ascii="Times New Roman" w:hAnsi="Times New Roman" w:cs="Times New Roman"/>
          <w:color w:val="FF0000"/>
          <w:sz w:val="22"/>
          <w:szCs w:val="22"/>
        </w:rPr>
        <w:t>Fig. S4.</w:t>
      </w:r>
      <w:r w:rsidR="00557650" w:rsidRPr="00034542">
        <w:rPr>
          <w:rFonts w:ascii="Times New Roman" w:hAnsi="Times New Roman" w:cs="Times New Roman"/>
          <w:color w:val="0000FF"/>
          <w:sz w:val="22"/>
          <w:szCs w:val="22"/>
        </w:rPr>
        <w:t xml:space="preserve">”. Please refer to line </w:t>
      </w:r>
      <w:r w:rsidR="0094637A">
        <w:rPr>
          <w:rFonts w:ascii="Times New Roman" w:hAnsi="Times New Roman" w:cs="Times New Roman"/>
          <w:color w:val="0000FF"/>
          <w:sz w:val="22"/>
          <w:szCs w:val="22"/>
        </w:rPr>
        <w:t>17</w:t>
      </w:r>
      <w:r w:rsidR="00193BA1">
        <w:rPr>
          <w:rFonts w:ascii="Times New Roman" w:hAnsi="Times New Roman" w:cs="Times New Roman"/>
          <w:color w:val="0000FF"/>
          <w:sz w:val="22"/>
          <w:szCs w:val="22"/>
        </w:rPr>
        <w:t>7</w:t>
      </w:r>
      <w:r w:rsidR="00557650" w:rsidRPr="00034542">
        <w:rPr>
          <w:rFonts w:ascii="Times New Roman" w:hAnsi="Times New Roman" w:cs="Times New Roman"/>
          <w:color w:val="0000FF"/>
          <w:sz w:val="22"/>
          <w:szCs w:val="22"/>
        </w:rPr>
        <w:t xml:space="preserve"> in the main text. The abbreviation in the context has been rechecked.</w:t>
      </w:r>
    </w:p>
    <w:p w14:paraId="15284846" w14:textId="11AAFF53"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In line 227, the “2” in “R2=0.9” is not in superscript. Please adjust the formatting for accuracy.</w:t>
      </w:r>
    </w:p>
    <w:p w14:paraId="5F24866F"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14CC821C" w14:textId="5775200F" w:rsidR="00AE2204" w:rsidRPr="00034542" w:rsidRDefault="004355FF" w:rsidP="00AE2204">
      <w:pPr>
        <w:jc w:val="both"/>
        <w:rPr>
          <w:rFonts w:ascii="Times New Roman" w:hAnsi="Times New Roman" w:cs="Times New Roman"/>
          <w:sz w:val="22"/>
          <w:szCs w:val="22"/>
        </w:rPr>
      </w:pPr>
      <w:r w:rsidRPr="004355FF">
        <w:rPr>
          <w:rFonts w:ascii="Times New Roman" w:hAnsi="Times New Roman" w:cs="Times New Roman"/>
          <w:color w:val="0000FF"/>
          <w:sz w:val="22"/>
          <w:szCs w:val="22"/>
        </w:rPr>
        <w:t>Thanks for pointing this out.</w:t>
      </w:r>
      <w:r w:rsidR="007456C5" w:rsidRPr="00034542">
        <w:rPr>
          <w:rFonts w:ascii="Times New Roman" w:hAnsi="Times New Roman" w:cs="Times New Roman"/>
          <w:color w:val="0000FF"/>
          <w:sz w:val="22"/>
          <w:szCs w:val="22"/>
        </w:rPr>
        <w:t xml:space="preserve"> </w:t>
      </w:r>
      <w:r w:rsidR="00557650" w:rsidRPr="00034542">
        <w:rPr>
          <w:rFonts w:ascii="Times New Roman" w:hAnsi="Times New Roman" w:cs="Times New Roman"/>
          <w:color w:val="0000FF"/>
          <w:sz w:val="22"/>
          <w:szCs w:val="22"/>
        </w:rPr>
        <w:t xml:space="preserve">The error here has been corrected. Please refer to line </w:t>
      </w:r>
      <w:r w:rsidR="0094637A">
        <w:rPr>
          <w:rFonts w:ascii="Times New Roman" w:hAnsi="Times New Roman" w:cs="Times New Roman"/>
          <w:color w:val="0000FF"/>
          <w:sz w:val="22"/>
          <w:szCs w:val="22"/>
        </w:rPr>
        <w:t>22</w:t>
      </w:r>
      <w:r w:rsidR="00193BA1">
        <w:rPr>
          <w:rFonts w:ascii="Times New Roman" w:hAnsi="Times New Roman" w:cs="Times New Roman"/>
          <w:color w:val="0000FF"/>
          <w:sz w:val="22"/>
          <w:szCs w:val="22"/>
        </w:rPr>
        <w:t>5</w:t>
      </w:r>
      <w:r w:rsidR="00557650" w:rsidRPr="00034542">
        <w:rPr>
          <w:rFonts w:ascii="Times New Roman" w:hAnsi="Times New Roman" w:cs="Times New Roman"/>
          <w:color w:val="0000FF"/>
          <w:sz w:val="22"/>
          <w:szCs w:val="22"/>
        </w:rPr>
        <w:t xml:space="preserve"> in the modified manuscript.</w:t>
      </w:r>
    </w:p>
    <w:p w14:paraId="456953BC" w14:textId="19E62EEF"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 xml:space="preserve">The </w:t>
      </w:r>
      <w:bookmarkStart w:id="7" w:name="_Hlk187138506"/>
      <w:r w:rsidRPr="00034542">
        <w:rPr>
          <w:rFonts w:ascii="Times New Roman" w:hAnsi="Times New Roman" w:cs="Times New Roman"/>
          <w:sz w:val="22"/>
          <w:szCs w:val="22"/>
        </w:rPr>
        <w:t>steps for qualitatively identifying organic compounds using mass spectrometry principles</w:t>
      </w:r>
      <w:bookmarkEnd w:id="7"/>
      <w:r w:rsidRPr="00034542">
        <w:rPr>
          <w:rFonts w:ascii="Times New Roman" w:hAnsi="Times New Roman" w:cs="Times New Roman"/>
          <w:sz w:val="22"/>
          <w:szCs w:val="22"/>
        </w:rPr>
        <w:t xml:space="preserve"> require further elaboration. Could the authors provide a detailed description of these procedures in the methods section?</w:t>
      </w:r>
    </w:p>
    <w:p w14:paraId="7D169909"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760E8F97" w14:textId="54B29DD7" w:rsidR="00BB63E9" w:rsidRPr="00034542" w:rsidRDefault="00AE2204" w:rsidP="00BB63E9">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Thanks for the comment.</w:t>
      </w:r>
      <w:r w:rsidR="00BB63E9" w:rsidRPr="00034542">
        <w:rPr>
          <w:rFonts w:ascii="Times New Roman" w:hAnsi="Times New Roman" w:cs="Times New Roman"/>
          <w:color w:val="0000FF"/>
          <w:sz w:val="22"/>
          <w:szCs w:val="22"/>
        </w:rPr>
        <w:t xml:space="preserve"> </w:t>
      </w:r>
      <w:bookmarkStart w:id="8" w:name="_Hlk187138554"/>
      <w:r w:rsidR="00BB63E9" w:rsidRPr="00034542">
        <w:rPr>
          <w:rFonts w:ascii="Times New Roman" w:hAnsi="Times New Roman" w:cs="Times New Roman"/>
          <w:color w:val="0000FF"/>
          <w:sz w:val="22"/>
          <w:szCs w:val="22"/>
        </w:rPr>
        <w:t>Taking alkanes as an example, compounds containing hydrocarbon chains give rise to a series of ions separated by 14 Da (-CH2-), as shown in Fig</w:t>
      </w:r>
      <w:r w:rsidR="009B41E7" w:rsidRPr="00034542">
        <w:rPr>
          <w:rFonts w:ascii="Times New Roman" w:hAnsi="Times New Roman" w:cs="Times New Roman"/>
          <w:color w:val="0000FF"/>
          <w:sz w:val="22"/>
          <w:szCs w:val="22"/>
        </w:rPr>
        <w:t>.</w:t>
      </w:r>
      <w:r w:rsidR="00BB63E9" w:rsidRPr="00034542">
        <w:rPr>
          <w:rFonts w:ascii="Times New Roman" w:hAnsi="Times New Roman" w:cs="Times New Roman"/>
          <w:color w:val="0000FF"/>
          <w:sz w:val="22"/>
          <w:szCs w:val="22"/>
        </w:rPr>
        <w:t xml:space="preserve"> 1. As a result, the top ions to identify alkanes would be m/z = 43, m/z = 57, m/z = 71, and m/z = 84. Due to the stability of chemical groups, generally, the abundance of m/z = 57 is highest, followed by m/z = 43 and m/z = 71. When incorporating these rules into the data treatment software (Canvas, version 2.5, J&amp;X Technologies), a few steps need to be taken, as shown in Fig</w:t>
      </w:r>
      <w:r w:rsidR="009B41E7" w:rsidRPr="00034542">
        <w:rPr>
          <w:rFonts w:ascii="Times New Roman" w:hAnsi="Times New Roman" w:cs="Times New Roman"/>
          <w:color w:val="0000FF"/>
          <w:sz w:val="22"/>
          <w:szCs w:val="22"/>
        </w:rPr>
        <w:t>.</w:t>
      </w:r>
      <w:r w:rsidR="00BB63E9" w:rsidRPr="00034542">
        <w:rPr>
          <w:rFonts w:ascii="Times New Roman" w:hAnsi="Times New Roman" w:cs="Times New Roman"/>
          <w:color w:val="0000FF"/>
          <w:sz w:val="22"/>
          <w:szCs w:val="22"/>
        </w:rPr>
        <w:t xml:space="preserve"> 2. Four built-in features can be </w:t>
      </w:r>
      <w:r w:rsidR="00BB63E9" w:rsidRPr="00034542">
        <w:rPr>
          <w:rFonts w:ascii="Times New Roman" w:hAnsi="Times New Roman" w:cs="Times New Roman"/>
          <w:color w:val="0000FF"/>
          <w:sz w:val="22"/>
          <w:szCs w:val="22"/>
        </w:rPr>
        <w:lastRenderedPageBreak/>
        <w:t xml:space="preserve">deployed. ABUND (X) returns the normalized abundance of the input ion mass; HASMASS (X) returns the value to indicate if the input ion exists; ORDER (X) returns the order of the input ion mass; MASS (X) returns the mass of the input ion’s order. Additionally, the function allows two logical operators, “And” and “Or”. Then, </w:t>
      </w:r>
      <w:r w:rsidR="009B41E7" w:rsidRPr="00034542">
        <w:rPr>
          <w:rFonts w:ascii="Times New Roman" w:hAnsi="Times New Roman" w:cs="Times New Roman"/>
          <w:color w:val="0000FF"/>
          <w:sz w:val="22"/>
          <w:szCs w:val="22"/>
        </w:rPr>
        <w:t xml:space="preserve">the </w:t>
      </w:r>
      <w:r w:rsidR="00BB63E9" w:rsidRPr="00034542">
        <w:rPr>
          <w:rFonts w:ascii="Times New Roman" w:hAnsi="Times New Roman" w:cs="Times New Roman"/>
          <w:color w:val="0000FF"/>
          <w:sz w:val="22"/>
          <w:szCs w:val="22"/>
        </w:rPr>
        <w:t>cluster of alkanes can be extracted by the following rules:</w:t>
      </w:r>
    </w:p>
    <w:p w14:paraId="27A798A1" w14:textId="77777777" w:rsidR="00BB63E9" w:rsidRPr="00034542" w:rsidRDefault="00BB63E9" w:rsidP="00BB63E9">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w:t>
      </w:r>
      <w:proofErr w:type="gramStart"/>
      <w:r w:rsidRPr="00034542">
        <w:rPr>
          <w:rFonts w:ascii="Times New Roman" w:hAnsi="Times New Roman" w:cs="Times New Roman"/>
          <w:color w:val="0000FF"/>
          <w:sz w:val="22"/>
          <w:szCs w:val="22"/>
        </w:rPr>
        <w:t>MASS(</w:t>
      </w:r>
      <w:proofErr w:type="gramEnd"/>
      <w:r w:rsidRPr="00034542">
        <w:rPr>
          <w:rFonts w:ascii="Times New Roman" w:hAnsi="Times New Roman" w:cs="Times New Roman"/>
          <w:color w:val="0000FF"/>
          <w:sz w:val="22"/>
          <w:szCs w:val="22"/>
        </w:rPr>
        <w:t>1)=43 &amp;&amp; (MASS(2)=57 || MASS(2)=71 || MASS(2)=41)) || (MASS(1)=57 &amp;&amp; (MASS(2)=43 || MASS(2)=71 || MASS(2)=41)))</w:t>
      </w:r>
    </w:p>
    <w:p w14:paraId="40E15455" w14:textId="5325C817" w:rsidR="00AE2204" w:rsidRPr="00034542" w:rsidRDefault="00BB63E9" w:rsidP="00BB63E9">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where “&amp;&amp;” and “||” refer to the logical operators “And” and “Or”, respectively. Paste the rules in Ion Extractor Editor and the cluster of alkanes can be filtered</w:t>
      </w:r>
      <w:r w:rsidR="009B41E7" w:rsidRPr="00034542">
        <w:rPr>
          <w:rFonts w:ascii="Times New Roman" w:hAnsi="Times New Roman" w:cs="Times New Roman"/>
          <w:color w:val="0000FF"/>
          <w:sz w:val="22"/>
          <w:szCs w:val="22"/>
        </w:rPr>
        <w:t>, as shown in Fig. 3</w:t>
      </w:r>
      <w:r w:rsidRPr="00034542">
        <w:rPr>
          <w:rFonts w:ascii="Times New Roman" w:hAnsi="Times New Roman" w:cs="Times New Roman"/>
          <w:color w:val="0000FF"/>
          <w:sz w:val="22"/>
          <w:szCs w:val="22"/>
        </w:rPr>
        <w:t>.</w:t>
      </w:r>
    </w:p>
    <w:p w14:paraId="5165006F" w14:textId="77777777" w:rsidR="00BB63E9" w:rsidRPr="00034542" w:rsidRDefault="00BB63E9" w:rsidP="00BB63E9">
      <w:pPr>
        <w:jc w:val="center"/>
        <w:rPr>
          <w:rFonts w:ascii="Times New Roman" w:hAnsi="Times New Roman" w:cs="Times New Roman"/>
          <w:color w:val="0000FF"/>
          <w:sz w:val="22"/>
          <w:szCs w:val="22"/>
        </w:rPr>
      </w:pPr>
      <w:r w:rsidRPr="00034542">
        <w:rPr>
          <w:rFonts w:ascii="Times New Roman" w:hAnsi="Times New Roman" w:cs="Times New Roman"/>
          <w:noProof/>
          <w:sz w:val="22"/>
          <w:szCs w:val="22"/>
        </w:rPr>
        <w:drawing>
          <wp:inline distT="0" distB="0" distL="0" distR="0" wp14:anchorId="7DED635E" wp14:editId="170A00EA">
            <wp:extent cx="1421437" cy="701791"/>
            <wp:effectExtent l="0" t="0" r="7620" b="3175"/>
            <wp:docPr id="4509678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8006" cy="705034"/>
                    </a:xfrm>
                    <a:prstGeom prst="rect">
                      <a:avLst/>
                    </a:prstGeom>
                    <a:noFill/>
                    <a:ln>
                      <a:noFill/>
                    </a:ln>
                  </pic:spPr>
                </pic:pic>
              </a:graphicData>
            </a:graphic>
          </wp:inline>
        </w:drawing>
      </w:r>
    </w:p>
    <w:p w14:paraId="2ACE8036" w14:textId="77777777" w:rsidR="00BB63E9" w:rsidRPr="00034542" w:rsidRDefault="00BB63E9" w:rsidP="00BB63E9">
      <w:pPr>
        <w:rPr>
          <w:rFonts w:ascii="Times New Roman" w:hAnsi="Times New Roman" w:cs="Times New Roman"/>
          <w:color w:val="0000FF"/>
          <w:sz w:val="22"/>
          <w:szCs w:val="22"/>
        </w:rPr>
      </w:pPr>
      <w:r w:rsidRPr="00034542">
        <w:rPr>
          <w:rFonts w:ascii="Times New Roman" w:hAnsi="Times New Roman" w:cs="Times New Roman"/>
          <w:color w:val="0000FF"/>
          <w:sz w:val="22"/>
          <w:szCs w:val="22"/>
        </w:rPr>
        <w:t>Figure 1. The common fragmentation patterns of n-alkanes.</w:t>
      </w:r>
    </w:p>
    <w:p w14:paraId="4F1961F2" w14:textId="77777777" w:rsidR="00BB63E9" w:rsidRPr="00034542" w:rsidRDefault="00BB63E9" w:rsidP="00BB63E9">
      <w:pPr>
        <w:jc w:val="center"/>
        <w:rPr>
          <w:rFonts w:ascii="Times New Roman" w:hAnsi="Times New Roman" w:cs="Times New Roman"/>
          <w:color w:val="0000FF"/>
          <w:sz w:val="22"/>
          <w:szCs w:val="22"/>
        </w:rPr>
      </w:pPr>
      <w:r w:rsidRPr="00034542">
        <w:rPr>
          <w:rFonts w:ascii="Times New Roman" w:hAnsi="Times New Roman" w:cs="Times New Roman"/>
          <w:noProof/>
          <w:sz w:val="22"/>
          <w:szCs w:val="22"/>
        </w:rPr>
        <w:drawing>
          <wp:inline distT="0" distB="0" distL="0" distR="0" wp14:anchorId="75D1DCE8" wp14:editId="2872496B">
            <wp:extent cx="3193576" cy="2091348"/>
            <wp:effectExtent l="0" t="0" r="6985" b="4445"/>
            <wp:docPr id="28418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0985" cy="2096200"/>
                    </a:xfrm>
                    <a:prstGeom prst="rect">
                      <a:avLst/>
                    </a:prstGeom>
                    <a:noFill/>
                    <a:ln>
                      <a:noFill/>
                    </a:ln>
                  </pic:spPr>
                </pic:pic>
              </a:graphicData>
            </a:graphic>
          </wp:inline>
        </w:drawing>
      </w:r>
    </w:p>
    <w:p w14:paraId="1BCF61F3" w14:textId="77777777" w:rsidR="00BB63E9" w:rsidRPr="00034542" w:rsidRDefault="00BB63E9" w:rsidP="00BB63E9">
      <w:pPr>
        <w:rPr>
          <w:rFonts w:ascii="Times New Roman" w:hAnsi="Times New Roman" w:cs="Times New Roman"/>
          <w:color w:val="0000FF"/>
          <w:sz w:val="22"/>
          <w:szCs w:val="22"/>
        </w:rPr>
      </w:pPr>
      <w:r w:rsidRPr="00034542">
        <w:rPr>
          <w:rFonts w:ascii="Times New Roman" w:hAnsi="Times New Roman" w:cs="Times New Roman"/>
          <w:color w:val="0000FF"/>
          <w:sz w:val="22"/>
          <w:szCs w:val="22"/>
        </w:rPr>
        <w:t>Figure 2. The steps to enable the ion extract function built in Canvas.</w:t>
      </w:r>
    </w:p>
    <w:p w14:paraId="4E8291D2" w14:textId="55696D99" w:rsidR="00BB63E9" w:rsidRPr="00034542" w:rsidRDefault="009B41E7" w:rsidP="009B41E7">
      <w:pPr>
        <w:jc w:val="center"/>
        <w:rPr>
          <w:rFonts w:ascii="Times New Roman" w:hAnsi="Times New Roman" w:cs="Times New Roman"/>
          <w:sz w:val="22"/>
          <w:szCs w:val="22"/>
        </w:rPr>
      </w:pPr>
      <w:r w:rsidRPr="00034542">
        <w:rPr>
          <w:rFonts w:ascii="Times New Roman" w:hAnsi="Times New Roman" w:cs="Times New Roman"/>
          <w:noProof/>
          <w:sz w:val="22"/>
          <w:szCs w:val="22"/>
        </w:rPr>
        <w:drawing>
          <wp:inline distT="0" distB="0" distL="0" distR="0" wp14:anchorId="3AA4097E" wp14:editId="15815C0F">
            <wp:extent cx="3617843" cy="2483422"/>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27679" cy="2490174"/>
                    </a:xfrm>
                    <a:prstGeom prst="rect">
                      <a:avLst/>
                    </a:prstGeom>
                    <a:noFill/>
                  </pic:spPr>
                </pic:pic>
              </a:graphicData>
            </a:graphic>
          </wp:inline>
        </w:drawing>
      </w:r>
    </w:p>
    <w:p w14:paraId="4B8BABD6" w14:textId="16D60A6A" w:rsidR="009B41E7" w:rsidRPr="00034542" w:rsidRDefault="009B41E7" w:rsidP="009B41E7">
      <w:pPr>
        <w:rPr>
          <w:rFonts w:ascii="Times New Roman" w:hAnsi="Times New Roman" w:cs="Times New Roman"/>
          <w:color w:val="0000FF"/>
          <w:sz w:val="22"/>
          <w:szCs w:val="22"/>
        </w:rPr>
      </w:pPr>
      <w:r w:rsidRPr="00034542">
        <w:rPr>
          <w:rFonts w:ascii="Times New Roman" w:hAnsi="Times New Roman" w:cs="Times New Roman"/>
          <w:color w:val="0000FF"/>
          <w:sz w:val="22"/>
          <w:szCs w:val="22"/>
        </w:rPr>
        <w:lastRenderedPageBreak/>
        <w:t>Figure 3. Comprehensive two-dimensional chromatograms before and after screening alkanes. Each red and blue point represents a chromatographic peak.</w:t>
      </w:r>
      <w:bookmarkEnd w:id="8"/>
    </w:p>
    <w:p w14:paraId="714CF860" w14:textId="54FD5DC6" w:rsidR="00BB63E9" w:rsidRPr="00034542" w:rsidRDefault="007A5858" w:rsidP="00BB63E9">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 xml:space="preserve">We have compiled the above </w:t>
      </w:r>
      <w:r w:rsidR="00923AD6" w:rsidRPr="00034542">
        <w:rPr>
          <w:rFonts w:ascii="Times New Roman" w:hAnsi="Times New Roman" w:cs="Times New Roman"/>
          <w:color w:val="0000FF"/>
          <w:sz w:val="22"/>
          <w:szCs w:val="22"/>
        </w:rPr>
        <w:t>explanation</w:t>
      </w:r>
      <w:r w:rsidRPr="00034542">
        <w:rPr>
          <w:rFonts w:ascii="Times New Roman" w:hAnsi="Times New Roman" w:cs="Times New Roman"/>
          <w:color w:val="0000FF"/>
          <w:sz w:val="22"/>
          <w:szCs w:val="22"/>
        </w:rPr>
        <w:t xml:space="preserve"> in SI. Please refer to line </w:t>
      </w:r>
      <w:r w:rsidR="0094637A">
        <w:rPr>
          <w:rFonts w:ascii="Times New Roman" w:hAnsi="Times New Roman" w:cs="Times New Roman"/>
          <w:color w:val="0000FF"/>
          <w:sz w:val="22"/>
          <w:szCs w:val="22"/>
        </w:rPr>
        <w:t>34-56</w:t>
      </w:r>
      <w:r w:rsidRPr="00034542">
        <w:rPr>
          <w:rFonts w:ascii="Times New Roman" w:hAnsi="Times New Roman" w:cs="Times New Roman"/>
          <w:color w:val="0000FF"/>
          <w:sz w:val="22"/>
          <w:szCs w:val="22"/>
        </w:rPr>
        <w:t xml:space="preserve"> in SI for detail.</w:t>
      </w:r>
    </w:p>
    <w:p w14:paraId="74BE36E0" w14:textId="14CBD997"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Specify the number of test repetitions conducted for each vehicle. Additionally, indicate the sample sizes used for all calculations involving averages to enhance the transparency and reproducibility of the results.</w:t>
      </w:r>
    </w:p>
    <w:p w14:paraId="7C6B3D41"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516E586A" w14:textId="77777777" w:rsidR="008C4C77"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Thanks for the comment.</w:t>
      </w:r>
      <w:r w:rsidR="00033A43" w:rsidRPr="00034542">
        <w:rPr>
          <w:rFonts w:ascii="Times New Roman" w:hAnsi="Times New Roman" w:cs="Times New Roman"/>
          <w:color w:val="0000FF"/>
          <w:sz w:val="22"/>
          <w:szCs w:val="22"/>
        </w:rPr>
        <w:t xml:space="preserve"> </w:t>
      </w:r>
      <w:r w:rsidR="009B41E7" w:rsidRPr="00034542">
        <w:rPr>
          <w:rFonts w:ascii="Times New Roman" w:hAnsi="Times New Roman" w:cs="Times New Roman"/>
          <w:color w:val="0000FF"/>
          <w:sz w:val="22"/>
          <w:szCs w:val="22"/>
        </w:rPr>
        <w:t xml:space="preserve">Table S1 in SI </w:t>
      </w:r>
      <w:r w:rsidR="00D4089D" w:rsidRPr="00034542">
        <w:rPr>
          <w:rFonts w:ascii="Times New Roman" w:hAnsi="Times New Roman" w:cs="Times New Roman"/>
          <w:color w:val="0000FF"/>
          <w:sz w:val="22"/>
          <w:szCs w:val="22"/>
        </w:rPr>
        <w:t xml:space="preserve">has been supplemented the number of test repetitions. </w:t>
      </w:r>
    </w:p>
    <w:p w14:paraId="546FE881" w14:textId="1F373B99" w:rsidR="008C4C77" w:rsidRPr="00034542" w:rsidRDefault="008C4C77" w:rsidP="008C4C77">
      <w:pPr>
        <w:pStyle w:val="afc"/>
        <w:keepNext/>
        <w:jc w:val="both"/>
        <w:rPr>
          <w:rFonts w:cs="Times New Roman"/>
          <w:b/>
          <w:bCs/>
          <w:color w:val="FF0000"/>
        </w:rPr>
      </w:pPr>
      <w:r w:rsidRPr="00034542">
        <w:rPr>
          <w:rFonts w:cs="Times New Roman"/>
          <w:color w:val="0000FF"/>
          <w:sz w:val="22"/>
          <w:szCs w:val="22"/>
        </w:rPr>
        <w:t>“</w:t>
      </w:r>
      <w:r w:rsidRPr="00034542">
        <w:rPr>
          <w:rFonts w:cs="Times New Roman"/>
          <w:b/>
          <w:bCs/>
          <w:color w:val="FF0000"/>
        </w:rPr>
        <w:t>Table S</w:t>
      </w:r>
      <w:r w:rsidRPr="00034542">
        <w:rPr>
          <w:rFonts w:cs="Times New Roman"/>
          <w:b/>
          <w:bCs/>
          <w:color w:val="FF0000"/>
        </w:rPr>
        <w:fldChar w:fldCharType="begin"/>
      </w:r>
      <w:r w:rsidRPr="00034542">
        <w:rPr>
          <w:rFonts w:cs="Times New Roman"/>
          <w:b/>
          <w:bCs/>
          <w:color w:val="FF0000"/>
        </w:rPr>
        <w:instrText xml:space="preserve"> SEQ Table_S \* ARABIC </w:instrText>
      </w:r>
      <w:r w:rsidRPr="00034542">
        <w:rPr>
          <w:rFonts w:cs="Times New Roman"/>
          <w:b/>
          <w:bCs/>
          <w:color w:val="FF0000"/>
        </w:rPr>
        <w:fldChar w:fldCharType="separate"/>
      </w:r>
      <w:r w:rsidR="00123DB1">
        <w:rPr>
          <w:rFonts w:cs="Times New Roman"/>
          <w:b/>
          <w:bCs/>
          <w:noProof/>
          <w:color w:val="FF0000"/>
        </w:rPr>
        <w:t>1</w:t>
      </w:r>
      <w:r w:rsidRPr="00034542">
        <w:rPr>
          <w:rFonts w:cs="Times New Roman"/>
          <w:b/>
          <w:bCs/>
          <w:color w:val="FF0000"/>
        </w:rPr>
        <w:fldChar w:fldCharType="end"/>
      </w:r>
      <w:r w:rsidRPr="00034542">
        <w:rPr>
          <w:rFonts w:cs="Times New Roman"/>
          <w:b/>
          <w:bCs/>
          <w:color w:val="FF0000"/>
        </w:rPr>
        <w:t>. Sets of test cycles.</w:t>
      </w:r>
    </w:p>
    <w:tbl>
      <w:tblPr>
        <w:tblStyle w:val="51"/>
        <w:tblW w:w="0" w:type="auto"/>
        <w:tblBorders>
          <w:top w:val="single" w:sz="8" w:space="0" w:color="000000" w:themeColor="text1"/>
          <w:bottom w:val="single" w:sz="8" w:space="0" w:color="000000" w:themeColor="text1"/>
        </w:tblBorders>
        <w:tblLook w:val="04A0" w:firstRow="1" w:lastRow="0" w:firstColumn="1" w:lastColumn="0" w:noHBand="0" w:noVBand="1"/>
      </w:tblPr>
      <w:tblGrid>
        <w:gridCol w:w="567"/>
        <w:gridCol w:w="1606"/>
        <w:gridCol w:w="2146"/>
        <w:gridCol w:w="2498"/>
        <w:gridCol w:w="1489"/>
      </w:tblGrid>
      <w:tr w:rsidR="008C4C77" w:rsidRPr="00034542" w14:paraId="1E87BAA6" w14:textId="77777777" w:rsidTr="0035375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 w:type="dxa"/>
            <w:tcBorders>
              <w:top w:val="single" w:sz="8" w:space="0" w:color="000000" w:themeColor="text1"/>
              <w:bottom w:val="single" w:sz="4" w:space="0" w:color="000000" w:themeColor="text1"/>
            </w:tcBorders>
          </w:tcPr>
          <w:p w14:paraId="64378383" w14:textId="77777777" w:rsidR="008C4C77" w:rsidRPr="00034542" w:rsidRDefault="008C4C77" w:rsidP="0035375C">
            <w:pPr>
              <w:jc w:val="cente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No.</w:t>
            </w:r>
          </w:p>
        </w:tc>
        <w:tc>
          <w:tcPr>
            <w:tcW w:w="1606" w:type="dxa"/>
            <w:tcBorders>
              <w:top w:val="single" w:sz="8" w:space="0" w:color="000000" w:themeColor="text1"/>
              <w:bottom w:val="single" w:sz="4" w:space="0" w:color="000000" w:themeColor="text1"/>
            </w:tcBorders>
          </w:tcPr>
          <w:p w14:paraId="40BD32F3" w14:textId="77777777" w:rsidR="008C4C77" w:rsidRPr="00034542" w:rsidRDefault="008C4C77" w:rsidP="0035375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Vehicle ID</w:t>
            </w:r>
          </w:p>
        </w:tc>
        <w:tc>
          <w:tcPr>
            <w:tcW w:w="2146" w:type="dxa"/>
            <w:tcBorders>
              <w:top w:val="single" w:sz="8" w:space="0" w:color="000000" w:themeColor="text1"/>
              <w:bottom w:val="single" w:sz="4" w:space="0" w:color="000000" w:themeColor="text1"/>
            </w:tcBorders>
          </w:tcPr>
          <w:p w14:paraId="35585F82" w14:textId="77777777" w:rsidR="008C4C77" w:rsidRPr="00034542" w:rsidRDefault="008C4C77" w:rsidP="0035375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Ambient Temperature</w:t>
            </w:r>
          </w:p>
        </w:tc>
        <w:tc>
          <w:tcPr>
            <w:tcW w:w="2498" w:type="dxa"/>
            <w:tcBorders>
              <w:top w:val="single" w:sz="8" w:space="0" w:color="000000" w:themeColor="text1"/>
              <w:bottom w:val="single" w:sz="4" w:space="0" w:color="000000" w:themeColor="text1"/>
            </w:tcBorders>
          </w:tcPr>
          <w:p w14:paraId="1A54BFCB" w14:textId="77777777" w:rsidR="008C4C77" w:rsidRPr="00034542" w:rsidRDefault="008C4C77" w:rsidP="0035375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Cold- or Hot-start Cycle</w:t>
            </w:r>
          </w:p>
        </w:tc>
        <w:tc>
          <w:tcPr>
            <w:tcW w:w="1489" w:type="dxa"/>
            <w:tcBorders>
              <w:top w:val="single" w:sz="8" w:space="0" w:color="000000" w:themeColor="text1"/>
              <w:bottom w:val="single" w:sz="4" w:space="0" w:color="000000" w:themeColor="text1"/>
            </w:tcBorders>
          </w:tcPr>
          <w:p w14:paraId="404E7FC0" w14:textId="77777777" w:rsidR="008C4C77" w:rsidRPr="00034542" w:rsidRDefault="008C4C77" w:rsidP="0035375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Repetitions</w:t>
            </w:r>
          </w:p>
        </w:tc>
      </w:tr>
      <w:tr w:rsidR="008C4C77" w:rsidRPr="00034542" w14:paraId="6CC464C4" w14:textId="77777777" w:rsidTr="00353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top w:val="single" w:sz="4" w:space="0" w:color="000000" w:themeColor="text1"/>
            </w:tcBorders>
          </w:tcPr>
          <w:p w14:paraId="58103A3C"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1</w:t>
            </w:r>
          </w:p>
        </w:tc>
        <w:tc>
          <w:tcPr>
            <w:tcW w:w="1606" w:type="dxa"/>
            <w:tcBorders>
              <w:top w:val="single" w:sz="4" w:space="0" w:color="000000" w:themeColor="text1"/>
            </w:tcBorders>
          </w:tcPr>
          <w:p w14:paraId="0196F807"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D1</w:t>
            </w:r>
          </w:p>
        </w:tc>
        <w:tc>
          <w:tcPr>
            <w:tcW w:w="2146" w:type="dxa"/>
            <w:tcBorders>
              <w:top w:val="single" w:sz="4" w:space="0" w:color="000000" w:themeColor="text1"/>
            </w:tcBorders>
          </w:tcPr>
          <w:p w14:paraId="17B5CB0F"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23°C</w:t>
            </w:r>
          </w:p>
        </w:tc>
        <w:tc>
          <w:tcPr>
            <w:tcW w:w="2498" w:type="dxa"/>
            <w:tcBorders>
              <w:top w:val="single" w:sz="4" w:space="0" w:color="000000" w:themeColor="text1"/>
            </w:tcBorders>
          </w:tcPr>
          <w:p w14:paraId="343BBFDD"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Cold-start cycle</w:t>
            </w:r>
          </w:p>
        </w:tc>
        <w:tc>
          <w:tcPr>
            <w:tcW w:w="1489" w:type="dxa"/>
            <w:tcBorders>
              <w:top w:val="single" w:sz="4" w:space="0" w:color="000000" w:themeColor="text1"/>
            </w:tcBorders>
          </w:tcPr>
          <w:p w14:paraId="733C5637"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w:t>
            </w:r>
          </w:p>
        </w:tc>
      </w:tr>
      <w:tr w:rsidR="008C4C77" w:rsidRPr="00034542" w14:paraId="1CBA044C" w14:textId="77777777" w:rsidTr="0035375C">
        <w:tc>
          <w:tcPr>
            <w:cnfStyle w:val="001000000000" w:firstRow="0" w:lastRow="0" w:firstColumn="1" w:lastColumn="0" w:oddVBand="0" w:evenVBand="0" w:oddHBand="0" w:evenHBand="0" w:firstRowFirstColumn="0" w:firstRowLastColumn="0" w:lastRowFirstColumn="0" w:lastRowLastColumn="0"/>
            <w:tcW w:w="567" w:type="dxa"/>
          </w:tcPr>
          <w:p w14:paraId="455AA146"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2</w:t>
            </w:r>
          </w:p>
        </w:tc>
        <w:tc>
          <w:tcPr>
            <w:tcW w:w="1606" w:type="dxa"/>
          </w:tcPr>
          <w:p w14:paraId="40E9CDD3"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D1</w:t>
            </w:r>
          </w:p>
        </w:tc>
        <w:tc>
          <w:tcPr>
            <w:tcW w:w="2146" w:type="dxa"/>
          </w:tcPr>
          <w:p w14:paraId="6489F7DC"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23°C</w:t>
            </w:r>
          </w:p>
        </w:tc>
        <w:tc>
          <w:tcPr>
            <w:tcW w:w="2498" w:type="dxa"/>
          </w:tcPr>
          <w:p w14:paraId="1BF69575"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Hot-start cycle</w:t>
            </w:r>
          </w:p>
        </w:tc>
        <w:tc>
          <w:tcPr>
            <w:tcW w:w="1489" w:type="dxa"/>
          </w:tcPr>
          <w:p w14:paraId="5DD05782"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w:t>
            </w:r>
          </w:p>
        </w:tc>
      </w:tr>
      <w:tr w:rsidR="008C4C77" w:rsidRPr="00034542" w14:paraId="21C0F39C" w14:textId="77777777" w:rsidTr="00353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2743AAEE"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3</w:t>
            </w:r>
          </w:p>
        </w:tc>
        <w:tc>
          <w:tcPr>
            <w:tcW w:w="1606" w:type="dxa"/>
          </w:tcPr>
          <w:p w14:paraId="6A0145B3"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D2</w:t>
            </w:r>
          </w:p>
        </w:tc>
        <w:tc>
          <w:tcPr>
            <w:tcW w:w="2146" w:type="dxa"/>
          </w:tcPr>
          <w:p w14:paraId="4DDBCAAE"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23°C</w:t>
            </w:r>
          </w:p>
        </w:tc>
        <w:tc>
          <w:tcPr>
            <w:tcW w:w="2498" w:type="dxa"/>
          </w:tcPr>
          <w:p w14:paraId="03FB4936"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Cold-start cycle</w:t>
            </w:r>
          </w:p>
        </w:tc>
        <w:tc>
          <w:tcPr>
            <w:tcW w:w="1489" w:type="dxa"/>
          </w:tcPr>
          <w:p w14:paraId="5A34417B"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w:t>
            </w:r>
          </w:p>
        </w:tc>
      </w:tr>
      <w:tr w:rsidR="008C4C77" w:rsidRPr="00034542" w14:paraId="5A726BCD" w14:textId="77777777" w:rsidTr="0035375C">
        <w:tc>
          <w:tcPr>
            <w:cnfStyle w:val="001000000000" w:firstRow="0" w:lastRow="0" w:firstColumn="1" w:lastColumn="0" w:oddVBand="0" w:evenVBand="0" w:oddHBand="0" w:evenHBand="0" w:firstRowFirstColumn="0" w:firstRowLastColumn="0" w:lastRowFirstColumn="0" w:lastRowLastColumn="0"/>
            <w:tcW w:w="567" w:type="dxa"/>
          </w:tcPr>
          <w:p w14:paraId="024E7F0B"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4</w:t>
            </w:r>
          </w:p>
        </w:tc>
        <w:tc>
          <w:tcPr>
            <w:tcW w:w="1606" w:type="dxa"/>
          </w:tcPr>
          <w:p w14:paraId="186C7488"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D2</w:t>
            </w:r>
          </w:p>
        </w:tc>
        <w:tc>
          <w:tcPr>
            <w:tcW w:w="2146" w:type="dxa"/>
          </w:tcPr>
          <w:p w14:paraId="13BF4D58"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23°C</w:t>
            </w:r>
          </w:p>
        </w:tc>
        <w:tc>
          <w:tcPr>
            <w:tcW w:w="2498" w:type="dxa"/>
          </w:tcPr>
          <w:p w14:paraId="2D06DB79"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Hot-start cycle</w:t>
            </w:r>
          </w:p>
        </w:tc>
        <w:tc>
          <w:tcPr>
            <w:tcW w:w="1489" w:type="dxa"/>
          </w:tcPr>
          <w:p w14:paraId="7B1E74C4"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w:t>
            </w:r>
          </w:p>
        </w:tc>
      </w:tr>
      <w:tr w:rsidR="008C4C77" w:rsidRPr="00034542" w14:paraId="44DE8D27" w14:textId="77777777" w:rsidTr="00353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729E8730"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5</w:t>
            </w:r>
          </w:p>
        </w:tc>
        <w:tc>
          <w:tcPr>
            <w:tcW w:w="1606" w:type="dxa"/>
          </w:tcPr>
          <w:p w14:paraId="46B535F9"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D2</w:t>
            </w:r>
          </w:p>
        </w:tc>
        <w:tc>
          <w:tcPr>
            <w:tcW w:w="2146" w:type="dxa"/>
          </w:tcPr>
          <w:p w14:paraId="30E45CE9"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0°C</w:t>
            </w:r>
          </w:p>
        </w:tc>
        <w:tc>
          <w:tcPr>
            <w:tcW w:w="2498" w:type="dxa"/>
          </w:tcPr>
          <w:p w14:paraId="43CD2D1D"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Hot-start cycle</w:t>
            </w:r>
          </w:p>
        </w:tc>
        <w:tc>
          <w:tcPr>
            <w:tcW w:w="1489" w:type="dxa"/>
          </w:tcPr>
          <w:p w14:paraId="31487C8A"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w:t>
            </w:r>
          </w:p>
        </w:tc>
      </w:tr>
      <w:tr w:rsidR="008C4C77" w:rsidRPr="00034542" w14:paraId="49C67D82" w14:textId="77777777" w:rsidTr="0035375C">
        <w:tc>
          <w:tcPr>
            <w:cnfStyle w:val="001000000000" w:firstRow="0" w:lastRow="0" w:firstColumn="1" w:lastColumn="0" w:oddVBand="0" w:evenVBand="0" w:oddHBand="0" w:evenHBand="0" w:firstRowFirstColumn="0" w:firstRowLastColumn="0" w:lastRowFirstColumn="0" w:lastRowLastColumn="0"/>
            <w:tcW w:w="567" w:type="dxa"/>
          </w:tcPr>
          <w:p w14:paraId="28D9F4E6"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6</w:t>
            </w:r>
          </w:p>
        </w:tc>
        <w:tc>
          <w:tcPr>
            <w:tcW w:w="1606" w:type="dxa"/>
          </w:tcPr>
          <w:p w14:paraId="4C94EC54"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D3</w:t>
            </w:r>
          </w:p>
        </w:tc>
        <w:tc>
          <w:tcPr>
            <w:tcW w:w="2146" w:type="dxa"/>
          </w:tcPr>
          <w:p w14:paraId="083B2504"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23°C</w:t>
            </w:r>
          </w:p>
        </w:tc>
        <w:tc>
          <w:tcPr>
            <w:tcW w:w="2498" w:type="dxa"/>
          </w:tcPr>
          <w:p w14:paraId="6007BD67"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Cold-start cycle</w:t>
            </w:r>
          </w:p>
        </w:tc>
        <w:tc>
          <w:tcPr>
            <w:tcW w:w="1489" w:type="dxa"/>
          </w:tcPr>
          <w:p w14:paraId="23FA060A"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3</w:t>
            </w:r>
          </w:p>
        </w:tc>
      </w:tr>
      <w:tr w:rsidR="008C4C77" w:rsidRPr="00034542" w14:paraId="78A70847" w14:textId="77777777" w:rsidTr="00353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5EC9AFD4"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7</w:t>
            </w:r>
          </w:p>
        </w:tc>
        <w:tc>
          <w:tcPr>
            <w:tcW w:w="1606" w:type="dxa"/>
          </w:tcPr>
          <w:p w14:paraId="7A6B3C6B"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D3</w:t>
            </w:r>
          </w:p>
        </w:tc>
        <w:tc>
          <w:tcPr>
            <w:tcW w:w="2146" w:type="dxa"/>
          </w:tcPr>
          <w:p w14:paraId="7EF9BDFE"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23°C</w:t>
            </w:r>
          </w:p>
        </w:tc>
        <w:tc>
          <w:tcPr>
            <w:tcW w:w="2498" w:type="dxa"/>
          </w:tcPr>
          <w:p w14:paraId="4DFAB37B"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Hot-start cycle</w:t>
            </w:r>
          </w:p>
        </w:tc>
        <w:tc>
          <w:tcPr>
            <w:tcW w:w="1489" w:type="dxa"/>
          </w:tcPr>
          <w:p w14:paraId="25C4596A"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3</w:t>
            </w:r>
          </w:p>
        </w:tc>
      </w:tr>
      <w:tr w:rsidR="008C4C77" w:rsidRPr="00034542" w14:paraId="7B4B0E9D" w14:textId="77777777" w:rsidTr="0035375C">
        <w:tc>
          <w:tcPr>
            <w:cnfStyle w:val="001000000000" w:firstRow="0" w:lastRow="0" w:firstColumn="1" w:lastColumn="0" w:oddVBand="0" w:evenVBand="0" w:oddHBand="0" w:evenHBand="0" w:firstRowFirstColumn="0" w:firstRowLastColumn="0" w:lastRowFirstColumn="0" w:lastRowLastColumn="0"/>
            <w:tcW w:w="567" w:type="dxa"/>
          </w:tcPr>
          <w:p w14:paraId="3AF584A7"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8</w:t>
            </w:r>
          </w:p>
        </w:tc>
        <w:tc>
          <w:tcPr>
            <w:tcW w:w="1606" w:type="dxa"/>
          </w:tcPr>
          <w:p w14:paraId="77EED40E"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D4</w:t>
            </w:r>
          </w:p>
        </w:tc>
        <w:tc>
          <w:tcPr>
            <w:tcW w:w="2146" w:type="dxa"/>
          </w:tcPr>
          <w:p w14:paraId="204A11AD"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23°C</w:t>
            </w:r>
          </w:p>
        </w:tc>
        <w:tc>
          <w:tcPr>
            <w:tcW w:w="2498" w:type="dxa"/>
          </w:tcPr>
          <w:p w14:paraId="5494E599"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Cold-start cycle</w:t>
            </w:r>
          </w:p>
        </w:tc>
        <w:tc>
          <w:tcPr>
            <w:tcW w:w="1489" w:type="dxa"/>
          </w:tcPr>
          <w:p w14:paraId="6F3910EC"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3</w:t>
            </w:r>
          </w:p>
        </w:tc>
      </w:tr>
      <w:tr w:rsidR="008C4C77" w:rsidRPr="00034542" w14:paraId="4052DE65" w14:textId="77777777" w:rsidTr="00353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097C97FF"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9</w:t>
            </w:r>
          </w:p>
        </w:tc>
        <w:tc>
          <w:tcPr>
            <w:tcW w:w="1606" w:type="dxa"/>
          </w:tcPr>
          <w:p w14:paraId="0BDFC7F7"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D4</w:t>
            </w:r>
          </w:p>
        </w:tc>
        <w:tc>
          <w:tcPr>
            <w:tcW w:w="2146" w:type="dxa"/>
          </w:tcPr>
          <w:p w14:paraId="2306F64B"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23°C</w:t>
            </w:r>
          </w:p>
        </w:tc>
        <w:tc>
          <w:tcPr>
            <w:tcW w:w="2498" w:type="dxa"/>
          </w:tcPr>
          <w:p w14:paraId="5D23717D"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Hot-start cycle</w:t>
            </w:r>
          </w:p>
        </w:tc>
        <w:tc>
          <w:tcPr>
            <w:tcW w:w="1489" w:type="dxa"/>
          </w:tcPr>
          <w:p w14:paraId="33C5A4DF" w14:textId="77777777" w:rsidR="008C4C77" w:rsidRPr="00034542" w:rsidRDefault="008C4C77" w:rsidP="0035375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3</w:t>
            </w:r>
          </w:p>
        </w:tc>
      </w:tr>
      <w:tr w:rsidR="008C4C77" w:rsidRPr="00034542" w14:paraId="15E9B4C0" w14:textId="77777777" w:rsidTr="0035375C">
        <w:tc>
          <w:tcPr>
            <w:cnfStyle w:val="001000000000" w:firstRow="0" w:lastRow="0" w:firstColumn="1" w:lastColumn="0" w:oddVBand="0" w:evenVBand="0" w:oddHBand="0" w:evenHBand="0" w:firstRowFirstColumn="0" w:firstRowLastColumn="0" w:lastRowFirstColumn="0" w:lastRowLastColumn="0"/>
            <w:tcW w:w="567" w:type="dxa"/>
          </w:tcPr>
          <w:p w14:paraId="462AAB4C" w14:textId="77777777" w:rsidR="008C4C77" w:rsidRPr="00034542" w:rsidRDefault="008C4C77" w:rsidP="0035375C">
            <w:pPr>
              <w:rPr>
                <w:rFonts w:ascii="Times New Roman" w:hAnsi="Times New Roman" w:cs="Times New Roman"/>
                <w:i w:val="0"/>
                <w:iCs w:val="0"/>
                <w:color w:val="FF0000"/>
                <w:sz w:val="20"/>
                <w:szCs w:val="20"/>
              </w:rPr>
            </w:pPr>
            <w:r w:rsidRPr="00034542">
              <w:rPr>
                <w:rFonts w:ascii="Times New Roman" w:hAnsi="Times New Roman" w:cs="Times New Roman"/>
                <w:i w:val="0"/>
                <w:iCs w:val="0"/>
                <w:color w:val="FF0000"/>
                <w:sz w:val="20"/>
                <w:szCs w:val="20"/>
              </w:rPr>
              <w:t>10</w:t>
            </w:r>
          </w:p>
        </w:tc>
        <w:tc>
          <w:tcPr>
            <w:tcW w:w="1606" w:type="dxa"/>
          </w:tcPr>
          <w:p w14:paraId="6DFA5DF2"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D4</w:t>
            </w:r>
          </w:p>
        </w:tc>
        <w:tc>
          <w:tcPr>
            <w:tcW w:w="2146" w:type="dxa"/>
          </w:tcPr>
          <w:p w14:paraId="38F2F6DD"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0°C</w:t>
            </w:r>
          </w:p>
        </w:tc>
        <w:tc>
          <w:tcPr>
            <w:tcW w:w="2498" w:type="dxa"/>
          </w:tcPr>
          <w:p w14:paraId="5BF55021"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Hot-start cycle</w:t>
            </w:r>
          </w:p>
        </w:tc>
        <w:tc>
          <w:tcPr>
            <w:tcW w:w="1489" w:type="dxa"/>
          </w:tcPr>
          <w:p w14:paraId="6D0FE5A4" w14:textId="77777777" w:rsidR="008C4C77" w:rsidRPr="00034542" w:rsidRDefault="008C4C77" w:rsidP="0035375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0"/>
                <w:szCs w:val="20"/>
              </w:rPr>
            </w:pPr>
            <w:r w:rsidRPr="00034542">
              <w:rPr>
                <w:rFonts w:ascii="Times New Roman" w:hAnsi="Times New Roman" w:cs="Times New Roman"/>
                <w:color w:val="FF0000"/>
                <w:sz w:val="20"/>
                <w:szCs w:val="20"/>
              </w:rPr>
              <w:t>2</w:t>
            </w:r>
          </w:p>
        </w:tc>
      </w:tr>
    </w:tbl>
    <w:p w14:paraId="4A82E42C" w14:textId="4C837FFD" w:rsidR="008C4C77" w:rsidRPr="00034542" w:rsidRDefault="008C4C77"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w:t>
      </w:r>
    </w:p>
    <w:p w14:paraId="347F1ADB" w14:textId="4C0F574A" w:rsidR="00AE2204" w:rsidRPr="00034542" w:rsidRDefault="007A5858"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 xml:space="preserve">Please refer to line </w:t>
      </w:r>
      <w:r w:rsidR="0094637A">
        <w:rPr>
          <w:rFonts w:ascii="Times New Roman" w:hAnsi="Times New Roman" w:cs="Times New Roman"/>
          <w:color w:val="0000FF"/>
          <w:sz w:val="22"/>
          <w:szCs w:val="22"/>
        </w:rPr>
        <w:t>58</w:t>
      </w:r>
      <w:r w:rsidRPr="00034542">
        <w:rPr>
          <w:rFonts w:ascii="Times New Roman" w:hAnsi="Times New Roman" w:cs="Times New Roman"/>
          <w:color w:val="0000FF"/>
          <w:sz w:val="22"/>
          <w:szCs w:val="22"/>
        </w:rPr>
        <w:t xml:space="preserve"> in SI for detail. </w:t>
      </w:r>
    </w:p>
    <w:p w14:paraId="404C1893" w14:textId="70BF5BDC"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In Line 237-238: “The EF ratios across different volatility bins decreased with decreasing volatility, highlighting that the elevated I/SVOC EFs of HMVs were primarily due to a marked increase in organics within the volatility range of bins 2 to 6.”. But according to the Fig</w:t>
      </w:r>
      <w:r w:rsidR="00365FC2" w:rsidRPr="00034542">
        <w:rPr>
          <w:rFonts w:ascii="Times New Roman" w:hAnsi="Times New Roman" w:cs="Times New Roman"/>
          <w:sz w:val="22"/>
          <w:szCs w:val="22"/>
        </w:rPr>
        <w:t>.</w:t>
      </w:r>
      <w:r w:rsidRPr="00034542">
        <w:rPr>
          <w:rFonts w:ascii="Times New Roman" w:hAnsi="Times New Roman" w:cs="Times New Roman"/>
          <w:sz w:val="22"/>
          <w:szCs w:val="22"/>
        </w:rPr>
        <w:t xml:space="preserve"> 3, the I/SVOCs EFs of HMVs and LMVs exhibited a rebound within the volatility range of bins 2 to 4. Is there any explanation for this phenomenon?</w:t>
      </w:r>
    </w:p>
    <w:p w14:paraId="2EE7320F"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37127838" w14:textId="7552374C" w:rsidR="00AE2204" w:rsidRPr="00034542" w:rsidRDefault="00923AD6"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 xml:space="preserve">In fact, </w:t>
      </w:r>
      <w:r w:rsidR="00A16EA9" w:rsidRPr="00034542">
        <w:rPr>
          <w:rFonts w:ascii="Times New Roman" w:hAnsi="Times New Roman" w:cs="Times New Roman"/>
          <w:color w:val="0000FF"/>
          <w:sz w:val="22"/>
          <w:szCs w:val="22"/>
        </w:rPr>
        <w:t>a</w:t>
      </w:r>
      <w:r w:rsidRPr="00034542">
        <w:rPr>
          <w:rFonts w:ascii="Times New Roman" w:hAnsi="Times New Roman" w:cs="Times New Roman"/>
          <w:color w:val="0000FF"/>
          <w:sz w:val="22"/>
          <w:szCs w:val="22"/>
        </w:rPr>
        <w:t xml:space="preserve"> similar volatil</w:t>
      </w:r>
      <w:r w:rsidR="00A16EA9" w:rsidRPr="00034542">
        <w:rPr>
          <w:rFonts w:ascii="Times New Roman" w:hAnsi="Times New Roman" w:cs="Times New Roman"/>
          <w:color w:val="0000FF"/>
          <w:sz w:val="22"/>
          <w:szCs w:val="22"/>
        </w:rPr>
        <w:t>ity</w:t>
      </w:r>
      <w:r w:rsidRPr="00034542">
        <w:rPr>
          <w:rFonts w:ascii="Times New Roman" w:hAnsi="Times New Roman" w:cs="Times New Roman"/>
          <w:color w:val="0000FF"/>
          <w:sz w:val="22"/>
          <w:szCs w:val="22"/>
        </w:rPr>
        <w:t xml:space="preserve"> distribution phenomenon has also been found in previous studies on vehicle exhaust I/SVOC emissions. For example,</w:t>
      </w:r>
      <w:r w:rsidR="00A16EA9" w:rsidRPr="00034542">
        <w:rPr>
          <w:rFonts w:ascii="Times New Roman" w:hAnsi="Times New Roman" w:cs="Times New Roman"/>
          <w:color w:val="0000FF"/>
          <w:sz w:val="22"/>
          <w:szCs w:val="22"/>
        </w:rPr>
        <w:t xml:space="preserve"> both </w:t>
      </w:r>
      <w:r w:rsidRPr="00034542">
        <w:rPr>
          <w:rFonts w:ascii="Times New Roman" w:hAnsi="Times New Roman" w:cs="Times New Roman"/>
          <w:color w:val="0000FF"/>
          <w:sz w:val="22"/>
          <w:szCs w:val="22"/>
        </w:rPr>
        <w:t>Zhao et al. (2015)</w:t>
      </w:r>
      <w:r w:rsidR="00A16EA9" w:rsidRPr="00034542">
        <w:rPr>
          <w:rFonts w:ascii="Times New Roman" w:hAnsi="Times New Roman" w:cs="Times New Roman"/>
          <w:color w:val="0000FF"/>
          <w:sz w:val="22"/>
          <w:szCs w:val="22"/>
        </w:rPr>
        <w:t xml:space="preserve"> and He et al. (2022)</w:t>
      </w:r>
      <w:r w:rsidRPr="00034542">
        <w:rPr>
          <w:rFonts w:ascii="Times New Roman" w:hAnsi="Times New Roman" w:cs="Times New Roman"/>
          <w:color w:val="0000FF"/>
          <w:sz w:val="22"/>
          <w:szCs w:val="22"/>
        </w:rPr>
        <w:t xml:space="preserve"> </w:t>
      </w:r>
      <w:r w:rsidR="00A16EA9" w:rsidRPr="00034542">
        <w:rPr>
          <w:rFonts w:ascii="Times New Roman" w:hAnsi="Times New Roman" w:cs="Times New Roman"/>
          <w:color w:val="0000FF"/>
          <w:sz w:val="22"/>
          <w:szCs w:val="22"/>
        </w:rPr>
        <w:t>tested</w:t>
      </w:r>
      <w:r w:rsidRPr="00034542">
        <w:rPr>
          <w:rFonts w:ascii="Times New Roman" w:hAnsi="Times New Roman" w:cs="Times New Roman"/>
          <w:color w:val="0000FF"/>
          <w:sz w:val="22"/>
          <w:szCs w:val="22"/>
        </w:rPr>
        <w:t xml:space="preserve"> </w:t>
      </w:r>
      <w:r w:rsidR="00A16EA9" w:rsidRPr="00034542">
        <w:rPr>
          <w:rFonts w:ascii="Times New Roman" w:hAnsi="Times New Roman" w:cs="Times New Roman"/>
          <w:color w:val="0000FF"/>
          <w:sz w:val="22"/>
          <w:szCs w:val="22"/>
        </w:rPr>
        <w:t>the exhaust from diesel vehicles and found an I/SVOC EF rebound around bin 2</w:t>
      </w:r>
      <w:r w:rsidR="00974C49" w:rsidRPr="00034542">
        <w:rPr>
          <w:rFonts w:ascii="Times New Roman" w:hAnsi="Times New Roman" w:cs="Times New Roman"/>
          <w:color w:val="0000FF"/>
          <w:sz w:val="22"/>
          <w:szCs w:val="22"/>
        </w:rPr>
        <w:t>, as shown in the figure below</w:t>
      </w:r>
      <w:r w:rsidR="00A16EA9" w:rsidRPr="00034542">
        <w:rPr>
          <w:rFonts w:ascii="Times New Roman" w:hAnsi="Times New Roman" w:cs="Times New Roman"/>
          <w:color w:val="0000FF"/>
          <w:sz w:val="22"/>
          <w:szCs w:val="22"/>
        </w:rPr>
        <w:t xml:space="preserve">, but </w:t>
      </w:r>
      <w:r w:rsidR="004355FF">
        <w:rPr>
          <w:rFonts w:ascii="Times New Roman" w:hAnsi="Times New Roman" w:cs="Times New Roman"/>
          <w:color w:val="0000FF"/>
          <w:sz w:val="22"/>
          <w:szCs w:val="22"/>
        </w:rPr>
        <w:t>they did not</w:t>
      </w:r>
      <w:r w:rsidR="00A16EA9" w:rsidRPr="00034542">
        <w:rPr>
          <w:rFonts w:ascii="Times New Roman" w:hAnsi="Times New Roman" w:cs="Times New Roman"/>
          <w:color w:val="0000FF"/>
          <w:sz w:val="22"/>
          <w:szCs w:val="22"/>
        </w:rPr>
        <w:t xml:space="preserve"> explain such a phenomenon. Liang et al. (2022) compared the </w:t>
      </w:r>
      <w:r w:rsidR="007335C5" w:rsidRPr="00034542">
        <w:rPr>
          <w:rFonts w:ascii="Times New Roman" w:hAnsi="Times New Roman" w:cs="Times New Roman"/>
          <w:color w:val="0000FF"/>
          <w:sz w:val="22"/>
          <w:szCs w:val="22"/>
        </w:rPr>
        <w:t>I/SVOC volatility distribution in exhaust, diesel, and lubrication oil from an engine, using the Positive Matrix Factorization (PMF), and concluded that the EF rebound around bin 2 was attributed to the lubrication oil. However, we</w:t>
      </w:r>
      <w:r w:rsidR="00974C49" w:rsidRPr="00034542">
        <w:rPr>
          <w:rFonts w:ascii="Times New Roman" w:hAnsi="Times New Roman" w:cs="Times New Roman"/>
          <w:color w:val="0000FF"/>
          <w:sz w:val="22"/>
          <w:szCs w:val="22"/>
        </w:rPr>
        <w:t xml:space="preserve"> </w:t>
      </w:r>
      <w:r w:rsidR="004355FF">
        <w:rPr>
          <w:rFonts w:ascii="Times New Roman" w:hAnsi="Times New Roman" w:cs="Times New Roman"/>
          <w:color w:val="0000FF"/>
          <w:sz w:val="22"/>
          <w:szCs w:val="22"/>
        </w:rPr>
        <w:t xml:space="preserve">did </w:t>
      </w:r>
      <w:r w:rsidR="007335C5" w:rsidRPr="00034542">
        <w:rPr>
          <w:rFonts w:ascii="Times New Roman" w:hAnsi="Times New Roman" w:cs="Times New Roman"/>
          <w:color w:val="0000FF"/>
          <w:sz w:val="22"/>
          <w:szCs w:val="22"/>
        </w:rPr>
        <w:t xml:space="preserve">not </w:t>
      </w:r>
      <w:r w:rsidR="00193BA1">
        <w:rPr>
          <w:rFonts w:ascii="Times New Roman" w:hAnsi="Times New Roman" w:cs="Times New Roman"/>
          <w:color w:val="0000FF"/>
          <w:sz w:val="22"/>
          <w:szCs w:val="22"/>
        </w:rPr>
        <w:t>analyze</w:t>
      </w:r>
      <w:r w:rsidR="007335C5" w:rsidRPr="00034542">
        <w:rPr>
          <w:rFonts w:ascii="Times New Roman" w:hAnsi="Times New Roman" w:cs="Times New Roman"/>
          <w:color w:val="0000FF"/>
          <w:sz w:val="22"/>
          <w:szCs w:val="22"/>
        </w:rPr>
        <w:t xml:space="preserve"> the diesel and lubrication oil used in our</w:t>
      </w:r>
      <w:r w:rsidR="00974C49" w:rsidRPr="00034542">
        <w:rPr>
          <w:rFonts w:ascii="Times New Roman" w:hAnsi="Times New Roman" w:cs="Times New Roman"/>
          <w:color w:val="0000FF"/>
          <w:sz w:val="22"/>
          <w:szCs w:val="22"/>
        </w:rPr>
        <w:t xml:space="preserve"> </w:t>
      </w:r>
      <w:r w:rsidR="007335C5" w:rsidRPr="00034542">
        <w:rPr>
          <w:rFonts w:ascii="Times New Roman" w:hAnsi="Times New Roman" w:cs="Times New Roman"/>
          <w:color w:val="0000FF"/>
          <w:sz w:val="22"/>
          <w:szCs w:val="22"/>
        </w:rPr>
        <w:t>test vehicles by TD-GC×GC-MS</w:t>
      </w:r>
      <w:r w:rsidR="00974C49" w:rsidRPr="00034542">
        <w:rPr>
          <w:rFonts w:ascii="Times New Roman" w:hAnsi="Times New Roman" w:cs="Times New Roman"/>
          <w:color w:val="0000FF"/>
          <w:sz w:val="22"/>
          <w:szCs w:val="22"/>
        </w:rPr>
        <w:t xml:space="preserve"> and without other evidence. We will improve in our future research</w:t>
      </w:r>
      <w:r w:rsidR="00EE753F" w:rsidRPr="00034542">
        <w:rPr>
          <w:rFonts w:ascii="Times New Roman" w:hAnsi="Times New Roman" w:cs="Times New Roman"/>
          <w:color w:val="0000FF"/>
          <w:sz w:val="22"/>
          <w:szCs w:val="22"/>
        </w:rPr>
        <w:t>.</w:t>
      </w:r>
    </w:p>
    <w:p w14:paraId="5A3A91D4" w14:textId="3D5CA43C" w:rsidR="00974C49" w:rsidRPr="00034542" w:rsidRDefault="00974C49" w:rsidP="00AE2204">
      <w:pPr>
        <w:jc w:val="both"/>
        <w:rPr>
          <w:rFonts w:ascii="Times New Roman" w:hAnsi="Times New Roman" w:cs="Times New Roman"/>
          <w:sz w:val="22"/>
          <w:szCs w:val="22"/>
        </w:rPr>
      </w:pPr>
      <w:r w:rsidRPr="00034542">
        <w:rPr>
          <w:rFonts w:ascii="Times New Roman" w:hAnsi="Times New Roman" w:cs="Times New Roman"/>
          <w:noProof/>
          <w:sz w:val="22"/>
          <w:szCs w:val="22"/>
        </w:rPr>
        <w:lastRenderedPageBreak/>
        <w:drawing>
          <wp:inline distT="0" distB="0" distL="0" distR="0" wp14:anchorId="7E9F1270" wp14:editId="5FD31B3F">
            <wp:extent cx="5472752" cy="2128227"/>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03895" cy="2140338"/>
                    </a:xfrm>
                    <a:prstGeom prst="rect">
                      <a:avLst/>
                    </a:prstGeom>
                    <a:noFill/>
                  </pic:spPr>
                </pic:pic>
              </a:graphicData>
            </a:graphic>
          </wp:inline>
        </w:drawing>
      </w:r>
    </w:p>
    <w:p w14:paraId="26155E27" w14:textId="3D0379C7" w:rsidR="00974C49" w:rsidRPr="00034542" w:rsidRDefault="00974C49" w:rsidP="00974C49">
      <w:pPr>
        <w:rPr>
          <w:rFonts w:ascii="Times New Roman" w:hAnsi="Times New Roman" w:cs="Times New Roman"/>
          <w:color w:val="0000FF"/>
          <w:sz w:val="22"/>
          <w:szCs w:val="22"/>
        </w:rPr>
      </w:pPr>
      <w:r w:rsidRPr="00034542">
        <w:rPr>
          <w:rFonts w:ascii="Times New Roman" w:hAnsi="Times New Roman" w:cs="Times New Roman"/>
          <w:color w:val="0000FF"/>
          <w:sz w:val="22"/>
          <w:szCs w:val="22"/>
        </w:rPr>
        <w:t>Figure 4. I/SVOC volatility distribution in the study of Zhao et al. (2015) and He et al. (2022).</w:t>
      </w:r>
    </w:p>
    <w:p w14:paraId="42579A24" w14:textId="71BAFA2C"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Around line 240, there’s a comparison of the proportions of HMV and LMV organic compounds; was there also a comparison of different component emission factors (EFs) between HMV and LMV? Are all substances higher in HMV?</w:t>
      </w:r>
    </w:p>
    <w:p w14:paraId="7E7262C9"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7DCD60A3" w14:textId="5673282B"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Thanks for the comment.</w:t>
      </w:r>
      <w:r w:rsidR="00033A43" w:rsidRPr="00034542">
        <w:rPr>
          <w:rFonts w:ascii="Times New Roman" w:hAnsi="Times New Roman" w:cs="Times New Roman"/>
          <w:color w:val="0000FF"/>
          <w:sz w:val="22"/>
          <w:szCs w:val="22"/>
        </w:rPr>
        <w:t xml:space="preserve"> </w:t>
      </w:r>
      <w:r w:rsidR="00D4089D" w:rsidRPr="00034542">
        <w:rPr>
          <w:rFonts w:ascii="Times New Roman" w:hAnsi="Times New Roman" w:cs="Times New Roman"/>
          <w:color w:val="0000FF"/>
          <w:sz w:val="22"/>
          <w:szCs w:val="22"/>
        </w:rPr>
        <w:t>The EF</w:t>
      </w:r>
      <w:r w:rsidR="00D9096C">
        <w:rPr>
          <w:rFonts w:ascii="Times New Roman" w:hAnsi="Times New Roman" w:cs="Times New Roman"/>
          <w:color w:val="0000FF"/>
          <w:sz w:val="22"/>
          <w:szCs w:val="22"/>
        </w:rPr>
        <w:t>s</w:t>
      </w:r>
      <w:r w:rsidR="00D4089D" w:rsidRPr="00034542">
        <w:rPr>
          <w:rFonts w:ascii="Times New Roman" w:hAnsi="Times New Roman" w:cs="Times New Roman"/>
          <w:color w:val="0000FF"/>
          <w:sz w:val="22"/>
          <w:szCs w:val="22"/>
        </w:rPr>
        <w:t xml:space="preserve"> of all organic compounds emitted by HMVs </w:t>
      </w:r>
      <w:r w:rsidR="00D9096C">
        <w:rPr>
          <w:rFonts w:ascii="Times New Roman" w:hAnsi="Times New Roman" w:cs="Times New Roman"/>
          <w:color w:val="0000FF"/>
          <w:sz w:val="22"/>
          <w:szCs w:val="22"/>
        </w:rPr>
        <w:t>are</w:t>
      </w:r>
      <w:r w:rsidR="00D4089D" w:rsidRPr="00034542">
        <w:rPr>
          <w:rFonts w:ascii="Times New Roman" w:hAnsi="Times New Roman" w:cs="Times New Roman"/>
          <w:color w:val="0000FF"/>
          <w:sz w:val="22"/>
          <w:szCs w:val="22"/>
        </w:rPr>
        <w:t xml:space="preserve"> higher than that of LMVs, but the magnitude of the increase varies. The supplementary figure</w:t>
      </w:r>
      <w:r w:rsidR="00BA734E" w:rsidRPr="00034542">
        <w:rPr>
          <w:rFonts w:ascii="Times New Roman" w:hAnsi="Times New Roman" w:cs="Times New Roman"/>
          <w:color w:val="0000FF"/>
          <w:sz w:val="22"/>
          <w:szCs w:val="22"/>
        </w:rPr>
        <w:t xml:space="preserve"> below</w:t>
      </w:r>
      <w:r w:rsidR="00D4089D" w:rsidRPr="00034542">
        <w:rPr>
          <w:rFonts w:ascii="Times New Roman" w:hAnsi="Times New Roman" w:cs="Times New Roman"/>
          <w:color w:val="0000FF"/>
          <w:sz w:val="22"/>
          <w:szCs w:val="22"/>
        </w:rPr>
        <w:t xml:space="preserve"> ha</w:t>
      </w:r>
      <w:r w:rsidR="008C4C77" w:rsidRPr="00034542">
        <w:rPr>
          <w:rFonts w:ascii="Times New Roman" w:hAnsi="Times New Roman" w:cs="Times New Roman"/>
          <w:color w:val="0000FF"/>
          <w:sz w:val="22"/>
          <w:szCs w:val="22"/>
        </w:rPr>
        <w:t>s</w:t>
      </w:r>
      <w:r w:rsidR="00D4089D" w:rsidRPr="00034542">
        <w:rPr>
          <w:rFonts w:ascii="Times New Roman" w:hAnsi="Times New Roman" w:cs="Times New Roman"/>
          <w:color w:val="0000FF"/>
          <w:sz w:val="22"/>
          <w:szCs w:val="22"/>
        </w:rPr>
        <w:t xml:space="preserve"> been added to the SI and the main text has been modified as follows:</w:t>
      </w:r>
    </w:p>
    <w:p w14:paraId="5DAFBA66" w14:textId="373F229A" w:rsidR="00CC3C74" w:rsidRPr="00034542" w:rsidRDefault="00D4089D" w:rsidP="00CC3C74">
      <w:pPr>
        <w:jc w:val="both"/>
        <w:textAlignment w:val="top"/>
        <w:rPr>
          <w:rFonts w:ascii="Times New Roman" w:hAnsi="Times New Roman" w:cs="Times New Roman"/>
          <w:color w:val="0000FF"/>
          <w:sz w:val="22"/>
          <w:szCs w:val="22"/>
        </w:rPr>
      </w:pPr>
      <w:r w:rsidRPr="00034542">
        <w:rPr>
          <w:rFonts w:ascii="Times New Roman" w:hAnsi="Times New Roman" w:cs="Times New Roman"/>
          <w:color w:val="0000FF"/>
          <w:sz w:val="22"/>
          <w:szCs w:val="22"/>
        </w:rPr>
        <w:t>“</w:t>
      </w:r>
      <w:r w:rsidR="004355FF" w:rsidRPr="004355FF">
        <w:rPr>
          <w:rFonts w:ascii="Times New Roman" w:hAnsi="Times New Roman" w:cs="Times New Roman"/>
          <w:noProof/>
          <w:color w:val="0000FF"/>
          <w:sz w:val="22"/>
          <w:szCs w:val="22"/>
        </w:rPr>
        <w:drawing>
          <wp:inline distT="0" distB="0" distL="0" distR="0" wp14:anchorId="35014FF0" wp14:editId="1D2F2B7E">
            <wp:extent cx="3286981" cy="212209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9558" cy="2136674"/>
                    </a:xfrm>
                    <a:prstGeom prst="rect">
                      <a:avLst/>
                    </a:prstGeom>
                    <a:noFill/>
                    <a:ln>
                      <a:noFill/>
                    </a:ln>
                  </pic:spPr>
                </pic:pic>
              </a:graphicData>
            </a:graphic>
          </wp:inline>
        </w:drawing>
      </w:r>
    </w:p>
    <w:p w14:paraId="305E276F" w14:textId="675DEDFD" w:rsidR="00D4089D" w:rsidRPr="00034542" w:rsidRDefault="00CC3C74" w:rsidP="00AE2204">
      <w:pPr>
        <w:jc w:val="both"/>
        <w:rPr>
          <w:rFonts w:ascii="Times New Roman" w:hAnsi="Times New Roman" w:cs="Times New Roman"/>
          <w:color w:val="0000FF"/>
          <w:sz w:val="22"/>
          <w:szCs w:val="22"/>
        </w:rPr>
      </w:pPr>
      <w:r w:rsidRPr="00034542">
        <w:rPr>
          <w:rFonts w:ascii="Times New Roman" w:hAnsi="Times New Roman" w:cs="Times New Roman"/>
          <w:color w:val="FF0000"/>
          <w:sz w:val="22"/>
          <w:szCs w:val="22"/>
        </w:rPr>
        <w:t>Figure S</w:t>
      </w:r>
      <w:r w:rsidR="00D9096C">
        <w:rPr>
          <w:rFonts w:ascii="Times New Roman" w:hAnsi="Times New Roman" w:cs="Times New Roman"/>
          <w:color w:val="FF0000"/>
          <w:sz w:val="22"/>
          <w:szCs w:val="22"/>
        </w:rPr>
        <w:t>8</w:t>
      </w:r>
      <w:r w:rsidRPr="00034542">
        <w:rPr>
          <w:rFonts w:ascii="Times New Roman" w:hAnsi="Times New Roman" w:cs="Times New Roman"/>
          <w:color w:val="FF0000"/>
          <w:sz w:val="22"/>
          <w:szCs w:val="22"/>
        </w:rPr>
        <w:t xml:space="preserve">. </w:t>
      </w:r>
      <w:bookmarkStart w:id="9" w:name="_Hlk187141646"/>
      <w:r w:rsidRPr="00034542">
        <w:rPr>
          <w:rFonts w:ascii="Times New Roman" w:hAnsi="Times New Roman" w:cs="Times New Roman"/>
          <w:color w:val="FF0000"/>
          <w:sz w:val="22"/>
          <w:szCs w:val="22"/>
        </w:rPr>
        <w:t>The average organic group distribution of HMVs and LMVs.</w:t>
      </w:r>
      <w:bookmarkEnd w:id="9"/>
      <w:r w:rsidR="00D4089D" w:rsidRPr="00034542">
        <w:rPr>
          <w:rFonts w:ascii="Times New Roman" w:hAnsi="Times New Roman" w:cs="Times New Roman"/>
          <w:color w:val="0000FF"/>
          <w:sz w:val="22"/>
          <w:szCs w:val="22"/>
        </w:rPr>
        <w:t>”</w:t>
      </w:r>
    </w:p>
    <w:p w14:paraId="5520AD5D" w14:textId="278A127F" w:rsidR="00CC3C74" w:rsidRPr="0062370D" w:rsidRDefault="00CC3C74" w:rsidP="00AE2204">
      <w:pPr>
        <w:jc w:val="both"/>
        <w:rPr>
          <w:rFonts w:ascii="Times New Roman" w:hAnsi="Times New Roman" w:cs="Times New Roman"/>
          <w:sz w:val="22"/>
          <w:szCs w:val="22"/>
        </w:rPr>
      </w:pPr>
      <w:r w:rsidRPr="00034542">
        <w:rPr>
          <w:rFonts w:ascii="Times New Roman" w:hAnsi="Times New Roman" w:cs="Times New Roman"/>
          <w:color w:val="0000FF"/>
          <w:sz w:val="22"/>
          <w:szCs w:val="22"/>
        </w:rPr>
        <w:t>“</w:t>
      </w:r>
      <w:r w:rsidRPr="00034542">
        <w:rPr>
          <w:rFonts w:ascii="Times New Roman" w:hAnsi="Times New Roman" w:cs="Times New Roman"/>
          <w:sz w:val="22"/>
          <w:szCs w:val="22"/>
        </w:rPr>
        <w:t>…</w:t>
      </w:r>
      <w:bookmarkStart w:id="10" w:name="_Hlk187141512"/>
      <w:r w:rsidR="0062370D" w:rsidRPr="0062370D">
        <w:rPr>
          <w:rFonts w:ascii="Times New Roman" w:hAnsi="Times New Roman" w:cs="Times New Roman"/>
          <w:sz w:val="22"/>
          <w:szCs w:val="22"/>
        </w:rPr>
        <w:t>To further compare volatility and category distribution, the average EFs of HMVs and LMVs are shown separately in Fig. 2</w:t>
      </w:r>
      <w:r w:rsidR="0062370D">
        <w:rPr>
          <w:rFonts w:ascii="Times New Roman" w:hAnsi="Times New Roman" w:cs="Times New Roman"/>
          <w:sz w:val="22"/>
          <w:szCs w:val="22"/>
        </w:rPr>
        <w:t>.</w:t>
      </w:r>
      <w:r w:rsidR="0062370D" w:rsidRPr="0062370D">
        <w:rPr>
          <w:rFonts w:ascii="Times New Roman" w:hAnsi="Times New Roman" w:cs="Times New Roman"/>
          <w:sz w:val="22"/>
          <w:szCs w:val="22"/>
        </w:rPr>
        <w:t xml:space="preserve"> The EF ratios across different volatility bins exhibited a decreasing trend with decreasing volatility, indicating that the elevated I/SVOC EFs of HMVs were primarily due to a marked increase in organics within the volatility range of bins 2 to 6. Figure 2 further depicts the relative proportion of distinct organic groups present in I/SVOC emissions</w:t>
      </w:r>
      <w:r w:rsidR="0062370D">
        <w:rPr>
          <w:rFonts w:ascii="Times New Roman" w:hAnsi="Times New Roman" w:cs="Times New Roman"/>
          <w:sz w:val="22"/>
          <w:szCs w:val="22"/>
        </w:rPr>
        <w:t xml:space="preserve"> and </w:t>
      </w:r>
      <w:bookmarkStart w:id="11" w:name="_Hlk187141544"/>
      <w:r w:rsidR="0062370D" w:rsidRPr="00034542">
        <w:rPr>
          <w:rFonts w:ascii="Times New Roman" w:hAnsi="Times New Roman" w:cs="Times New Roman"/>
          <w:color w:val="FF0000"/>
          <w:sz w:val="22"/>
          <w:szCs w:val="22"/>
        </w:rPr>
        <w:t>their EFs are shown in Fig. S</w:t>
      </w:r>
      <w:r w:rsidR="0062370D">
        <w:rPr>
          <w:rFonts w:ascii="Times New Roman" w:hAnsi="Times New Roman" w:cs="Times New Roman"/>
          <w:color w:val="FF0000"/>
          <w:sz w:val="22"/>
          <w:szCs w:val="22"/>
        </w:rPr>
        <w:t>8</w:t>
      </w:r>
      <w:r w:rsidR="0062370D" w:rsidRPr="0062370D">
        <w:rPr>
          <w:rFonts w:ascii="Times New Roman" w:hAnsi="Times New Roman" w:cs="Times New Roman"/>
          <w:sz w:val="22"/>
          <w:szCs w:val="22"/>
        </w:rPr>
        <w:t xml:space="preserve">. </w:t>
      </w:r>
      <w:r w:rsidR="0062370D" w:rsidRPr="0062370D">
        <w:rPr>
          <w:rFonts w:ascii="Times New Roman" w:hAnsi="Times New Roman" w:cs="Times New Roman"/>
          <w:color w:val="FF0000"/>
          <w:sz w:val="22"/>
          <w:szCs w:val="22"/>
        </w:rPr>
        <w:t xml:space="preserve">The EFs of all organic compounds emitted by HMVs were higher than those of LMVs, but the magnitude of the increase varied. Except for phenol, alkene, and cycloalkane, the organic group with the highest HMV-LMV ratio was carbonyls, up to 34, as shown </w:t>
      </w:r>
      <w:r w:rsidR="0062370D" w:rsidRPr="0062370D">
        <w:rPr>
          <w:rFonts w:ascii="Times New Roman" w:hAnsi="Times New Roman" w:cs="Times New Roman"/>
          <w:color w:val="FF0000"/>
          <w:sz w:val="22"/>
          <w:szCs w:val="22"/>
        </w:rPr>
        <w:lastRenderedPageBreak/>
        <w:t>in Fig. S8. The next highest is oxy-PAH &amp; oxy-benzene, whose HMV-LMV ratio reached 11. The ratios of PAH_2rings, alcohol, and alkane were 7. Overall, the HMV-LMV ratio</w:t>
      </w:r>
      <w:r w:rsidR="00193BA1">
        <w:rPr>
          <w:rFonts w:ascii="Times New Roman" w:hAnsi="Times New Roman" w:cs="Times New Roman"/>
          <w:color w:val="FF0000"/>
          <w:sz w:val="22"/>
          <w:szCs w:val="22"/>
        </w:rPr>
        <w:t>s</w:t>
      </w:r>
      <w:r w:rsidR="0062370D" w:rsidRPr="0062370D">
        <w:rPr>
          <w:rFonts w:ascii="Times New Roman" w:hAnsi="Times New Roman" w:cs="Times New Roman"/>
          <w:color w:val="FF0000"/>
          <w:sz w:val="22"/>
          <w:szCs w:val="22"/>
        </w:rPr>
        <w:t xml:space="preserve"> of O-I/SVOCs were relatively higher, which</w:t>
      </w:r>
      <w:bookmarkEnd w:id="11"/>
      <w:r w:rsidR="0062370D" w:rsidRPr="0062370D">
        <w:rPr>
          <w:rFonts w:ascii="Times New Roman" w:hAnsi="Times New Roman" w:cs="Times New Roman"/>
          <w:color w:val="FF0000"/>
          <w:sz w:val="22"/>
          <w:szCs w:val="22"/>
        </w:rPr>
        <w:t xml:space="preserve"> </w:t>
      </w:r>
      <w:r w:rsidR="0062370D" w:rsidRPr="0062370D">
        <w:rPr>
          <w:rFonts w:ascii="Times New Roman" w:hAnsi="Times New Roman" w:cs="Times New Roman"/>
          <w:sz w:val="22"/>
          <w:szCs w:val="22"/>
        </w:rPr>
        <w:t>contributed 65% of the I/SVOCs emissions from HMVs, compared to 42% for LMVs. Since the SOA yields of O-I/SVOCs are lower than those of hydrocarbon-like I/SVOCs in the same bin (Chacon-Madrid and Donahue, 2011), variations in O-I/SVOC proportions directly impacted the SOAFP gap between HMVs and LMVs, which would be further discussed in Sect. 3.5. Alkane and oxy-PAH &amp; oxy-benzene were the dominant contributors to I/SVOCs for both HMVs and LMVs. PAH_3rings contributed 8% of the I/SVOC emissions for HMVs, but 23% for LMVs. Interestingly, phenol, alkene, and cycloalkane were not detected in any of the LMV samples.</w:t>
      </w:r>
      <w:bookmarkEnd w:id="10"/>
      <w:r w:rsidR="006800BD" w:rsidRPr="00034542">
        <w:rPr>
          <w:rFonts w:ascii="Times New Roman" w:hAnsi="Times New Roman" w:cs="Times New Roman"/>
          <w:color w:val="0000FF"/>
          <w:sz w:val="22"/>
          <w:szCs w:val="22"/>
        </w:rPr>
        <w:t>”</w:t>
      </w:r>
    </w:p>
    <w:p w14:paraId="114F2DBB" w14:textId="15A63810" w:rsidR="00D4089D" w:rsidRPr="00034542" w:rsidRDefault="00D4089D" w:rsidP="00AE2204">
      <w:pPr>
        <w:jc w:val="both"/>
        <w:rPr>
          <w:rFonts w:ascii="Times New Roman" w:hAnsi="Times New Roman" w:cs="Times New Roman"/>
          <w:sz w:val="22"/>
          <w:szCs w:val="22"/>
        </w:rPr>
      </w:pPr>
      <w:r w:rsidRPr="00034542">
        <w:rPr>
          <w:rFonts w:ascii="Times New Roman" w:hAnsi="Times New Roman" w:cs="Times New Roman"/>
          <w:color w:val="0000FF"/>
          <w:sz w:val="22"/>
          <w:szCs w:val="22"/>
        </w:rPr>
        <w:t xml:space="preserve">Please refer to line </w:t>
      </w:r>
      <w:r w:rsidR="0094637A">
        <w:rPr>
          <w:rFonts w:ascii="Times New Roman" w:hAnsi="Times New Roman" w:cs="Times New Roman"/>
          <w:color w:val="0000FF"/>
          <w:sz w:val="22"/>
          <w:szCs w:val="22"/>
        </w:rPr>
        <w:t>2</w:t>
      </w:r>
      <w:r w:rsidR="00193BA1">
        <w:rPr>
          <w:rFonts w:ascii="Times New Roman" w:hAnsi="Times New Roman" w:cs="Times New Roman"/>
          <w:color w:val="0000FF"/>
          <w:sz w:val="22"/>
          <w:szCs w:val="22"/>
        </w:rPr>
        <w:t>40</w:t>
      </w:r>
      <w:r w:rsidR="0094637A">
        <w:rPr>
          <w:rFonts w:ascii="Times New Roman" w:hAnsi="Times New Roman" w:cs="Times New Roman"/>
          <w:color w:val="0000FF"/>
          <w:sz w:val="22"/>
          <w:szCs w:val="22"/>
        </w:rPr>
        <w:t>-24</w:t>
      </w:r>
      <w:r w:rsidR="00193BA1">
        <w:rPr>
          <w:rFonts w:ascii="Times New Roman" w:hAnsi="Times New Roman" w:cs="Times New Roman"/>
          <w:color w:val="0000FF"/>
          <w:sz w:val="22"/>
          <w:szCs w:val="22"/>
        </w:rPr>
        <w:t>4</w:t>
      </w:r>
      <w:r w:rsidRPr="00034542">
        <w:rPr>
          <w:rFonts w:ascii="Times New Roman" w:hAnsi="Times New Roman" w:cs="Times New Roman"/>
          <w:color w:val="0000FF"/>
          <w:sz w:val="22"/>
          <w:szCs w:val="22"/>
        </w:rPr>
        <w:t xml:space="preserve"> in the main text and line </w:t>
      </w:r>
      <w:r w:rsidR="0094637A">
        <w:rPr>
          <w:rFonts w:ascii="Times New Roman" w:hAnsi="Times New Roman" w:cs="Times New Roman"/>
          <w:color w:val="0000FF"/>
          <w:sz w:val="22"/>
          <w:szCs w:val="22"/>
        </w:rPr>
        <w:t>85</w:t>
      </w:r>
      <w:r w:rsidRPr="00034542">
        <w:rPr>
          <w:rFonts w:ascii="Times New Roman" w:hAnsi="Times New Roman" w:cs="Times New Roman"/>
          <w:color w:val="0000FF"/>
          <w:sz w:val="22"/>
          <w:szCs w:val="22"/>
        </w:rPr>
        <w:t xml:space="preserve"> in SI for detail</w:t>
      </w:r>
      <w:r w:rsidR="002D4029">
        <w:rPr>
          <w:rFonts w:ascii="Times New Roman" w:hAnsi="Times New Roman" w:cs="Times New Roman"/>
          <w:color w:val="0000FF"/>
          <w:sz w:val="22"/>
          <w:szCs w:val="22"/>
        </w:rPr>
        <w:t>s</w:t>
      </w:r>
      <w:r w:rsidRPr="00034542">
        <w:rPr>
          <w:rFonts w:ascii="Times New Roman" w:hAnsi="Times New Roman" w:cs="Times New Roman"/>
          <w:color w:val="0000FF"/>
          <w:sz w:val="22"/>
          <w:szCs w:val="22"/>
        </w:rPr>
        <w:t>.</w:t>
      </w:r>
    </w:p>
    <w:p w14:paraId="35C12FA5" w14:textId="6B36DFC7" w:rsidR="00AE2204" w:rsidRPr="00034542" w:rsidRDefault="00AE2204" w:rsidP="003D3847">
      <w:pPr>
        <w:pStyle w:val="a9"/>
        <w:numPr>
          <w:ilvl w:val="0"/>
          <w:numId w:val="1"/>
        </w:numPr>
        <w:ind w:left="357" w:hanging="357"/>
        <w:jc w:val="both"/>
        <w:outlineLvl w:val="1"/>
        <w:rPr>
          <w:rFonts w:ascii="Times New Roman" w:hAnsi="Times New Roman" w:cs="Times New Roman"/>
          <w:sz w:val="22"/>
          <w:szCs w:val="22"/>
        </w:rPr>
      </w:pPr>
      <w:r w:rsidRPr="00034542">
        <w:rPr>
          <w:rFonts w:ascii="Times New Roman" w:hAnsi="Times New Roman" w:cs="Times New Roman"/>
          <w:sz w:val="22"/>
          <w:szCs w:val="22"/>
        </w:rPr>
        <w:t>The introduction and the section on SOA prediction would benefit from additional supporting references. Consider including following studies that explore the generation and sources of urban particulate matter to provide a more robust foundation for your discussion.</w:t>
      </w:r>
    </w:p>
    <w:p w14:paraId="4F4D9B3E" w14:textId="77777777" w:rsidR="00AE2204" w:rsidRPr="00034542" w:rsidRDefault="00AE2204" w:rsidP="00AE2204">
      <w:pPr>
        <w:pStyle w:val="a9"/>
        <w:numPr>
          <w:ilvl w:val="0"/>
          <w:numId w:val="3"/>
        </w:numPr>
        <w:jc w:val="both"/>
        <w:rPr>
          <w:rFonts w:ascii="Times New Roman" w:hAnsi="Times New Roman" w:cs="Times New Roman"/>
          <w:sz w:val="20"/>
          <w:szCs w:val="20"/>
        </w:rPr>
      </w:pPr>
      <w:r w:rsidRPr="00034542">
        <w:rPr>
          <w:rFonts w:ascii="Times New Roman" w:hAnsi="Times New Roman" w:cs="Times New Roman"/>
          <w:sz w:val="20"/>
          <w:szCs w:val="20"/>
        </w:rPr>
        <w:t xml:space="preserve">Jacob M. </w:t>
      </w:r>
      <w:bookmarkStart w:id="12" w:name="_Hlk187073280"/>
      <w:r w:rsidRPr="00034542">
        <w:rPr>
          <w:rFonts w:ascii="Times New Roman" w:hAnsi="Times New Roman" w:cs="Times New Roman"/>
          <w:sz w:val="20"/>
          <w:szCs w:val="20"/>
        </w:rPr>
        <w:t>Sommers</w:t>
      </w:r>
      <w:bookmarkEnd w:id="12"/>
      <w:r w:rsidRPr="00034542">
        <w:rPr>
          <w:rFonts w:ascii="Times New Roman" w:hAnsi="Times New Roman" w:cs="Times New Roman"/>
          <w:sz w:val="20"/>
          <w:szCs w:val="20"/>
        </w:rPr>
        <w:t xml:space="preserve">, Craig A. Stroud, Max G. Adam, Jason O'Brien, Jeffrey R. Brook, Katherine Hayden, Alex K. Y. Lee, </w:t>
      </w:r>
      <w:proofErr w:type="spellStart"/>
      <w:r w:rsidRPr="00034542">
        <w:rPr>
          <w:rFonts w:ascii="Times New Roman" w:hAnsi="Times New Roman" w:cs="Times New Roman"/>
          <w:sz w:val="20"/>
          <w:szCs w:val="20"/>
        </w:rPr>
        <w:t>Kun</w:t>
      </w:r>
      <w:proofErr w:type="spellEnd"/>
      <w:r w:rsidRPr="00034542">
        <w:rPr>
          <w:rFonts w:ascii="Times New Roman" w:hAnsi="Times New Roman" w:cs="Times New Roman"/>
          <w:sz w:val="20"/>
          <w:szCs w:val="20"/>
        </w:rPr>
        <w:t xml:space="preserve"> Li, John </w:t>
      </w:r>
      <w:proofErr w:type="spellStart"/>
      <w:r w:rsidRPr="00034542">
        <w:rPr>
          <w:rFonts w:ascii="Times New Roman" w:hAnsi="Times New Roman" w:cs="Times New Roman"/>
          <w:sz w:val="20"/>
          <w:szCs w:val="20"/>
        </w:rPr>
        <w:t>Liggio</w:t>
      </w:r>
      <w:proofErr w:type="spellEnd"/>
      <w:r w:rsidRPr="00034542">
        <w:rPr>
          <w:rFonts w:ascii="Times New Roman" w:hAnsi="Times New Roman" w:cs="Times New Roman"/>
          <w:sz w:val="20"/>
          <w:szCs w:val="20"/>
        </w:rPr>
        <w:t xml:space="preserve">, Cristian </w:t>
      </w:r>
      <w:proofErr w:type="spellStart"/>
      <w:r w:rsidRPr="00034542">
        <w:rPr>
          <w:rFonts w:ascii="Times New Roman" w:hAnsi="Times New Roman" w:cs="Times New Roman"/>
          <w:sz w:val="20"/>
          <w:szCs w:val="20"/>
        </w:rPr>
        <w:t>Mihele</w:t>
      </w:r>
      <w:proofErr w:type="spellEnd"/>
      <w:r w:rsidRPr="00034542">
        <w:rPr>
          <w:rFonts w:ascii="Times New Roman" w:hAnsi="Times New Roman" w:cs="Times New Roman"/>
          <w:sz w:val="20"/>
          <w:szCs w:val="20"/>
        </w:rPr>
        <w:t xml:space="preserve">, Richard L. Mittermeier, Robin G. Stevens, Mengistu </w:t>
      </w:r>
      <w:proofErr w:type="spellStart"/>
      <w:r w:rsidRPr="00034542">
        <w:rPr>
          <w:rFonts w:ascii="Times New Roman" w:hAnsi="Times New Roman" w:cs="Times New Roman"/>
          <w:sz w:val="20"/>
          <w:szCs w:val="20"/>
        </w:rPr>
        <w:t>Wolde</w:t>
      </w:r>
      <w:proofErr w:type="spellEnd"/>
      <w:r w:rsidRPr="00034542">
        <w:rPr>
          <w:rFonts w:ascii="Times New Roman" w:hAnsi="Times New Roman" w:cs="Times New Roman"/>
          <w:sz w:val="20"/>
          <w:szCs w:val="20"/>
        </w:rPr>
        <w:t xml:space="preserve">, Andreas </w:t>
      </w:r>
      <w:proofErr w:type="spellStart"/>
      <w:r w:rsidRPr="00034542">
        <w:rPr>
          <w:rFonts w:ascii="Times New Roman" w:hAnsi="Times New Roman" w:cs="Times New Roman"/>
          <w:sz w:val="20"/>
          <w:szCs w:val="20"/>
        </w:rPr>
        <w:t>Zuend</w:t>
      </w:r>
      <w:proofErr w:type="spellEnd"/>
      <w:r w:rsidRPr="00034542">
        <w:rPr>
          <w:rFonts w:ascii="Times New Roman" w:hAnsi="Times New Roman" w:cs="Times New Roman"/>
          <w:sz w:val="20"/>
          <w:szCs w:val="20"/>
        </w:rPr>
        <w:t>, Patrick L. Hayes (2022) Evaluating SOA formation from different sources of semi- and intermediate-volatility organic compounds from the Athabasca oil sands. Environmental Science: Atmospheres. DOI: 10.1039/d1ea00053e.</w:t>
      </w:r>
    </w:p>
    <w:p w14:paraId="6F496C3E" w14:textId="77777777" w:rsidR="00AE2204" w:rsidRPr="00034542" w:rsidRDefault="00AE2204" w:rsidP="00AE2204">
      <w:pPr>
        <w:pStyle w:val="a9"/>
        <w:numPr>
          <w:ilvl w:val="0"/>
          <w:numId w:val="3"/>
        </w:numPr>
        <w:jc w:val="both"/>
        <w:rPr>
          <w:rFonts w:ascii="Times New Roman" w:hAnsi="Times New Roman" w:cs="Times New Roman"/>
          <w:sz w:val="20"/>
          <w:szCs w:val="20"/>
        </w:rPr>
      </w:pPr>
      <w:proofErr w:type="spellStart"/>
      <w:r w:rsidRPr="00034542">
        <w:rPr>
          <w:rFonts w:ascii="Times New Roman" w:hAnsi="Times New Roman" w:cs="Times New Roman"/>
          <w:sz w:val="20"/>
          <w:szCs w:val="20"/>
        </w:rPr>
        <w:t>Qingsong</w:t>
      </w:r>
      <w:proofErr w:type="spellEnd"/>
      <w:r w:rsidRPr="00034542">
        <w:rPr>
          <w:rFonts w:ascii="Times New Roman" w:hAnsi="Times New Roman" w:cs="Times New Roman"/>
          <w:sz w:val="20"/>
          <w:szCs w:val="20"/>
        </w:rPr>
        <w:t xml:space="preserve"> Wang; </w:t>
      </w:r>
      <w:proofErr w:type="spellStart"/>
      <w:r w:rsidRPr="00034542">
        <w:rPr>
          <w:rFonts w:ascii="Times New Roman" w:hAnsi="Times New Roman" w:cs="Times New Roman"/>
          <w:sz w:val="20"/>
          <w:szCs w:val="20"/>
        </w:rPr>
        <w:t>Juntao</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Huo</w:t>
      </w:r>
      <w:proofErr w:type="spellEnd"/>
      <w:r w:rsidRPr="00034542">
        <w:rPr>
          <w:rFonts w:ascii="Times New Roman" w:hAnsi="Times New Roman" w:cs="Times New Roman"/>
          <w:sz w:val="20"/>
          <w:szCs w:val="20"/>
        </w:rPr>
        <w:t xml:space="preserve">; Hui Chen*; Yusen Duan; </w:t>
      </w:r>
      <w:proofErr w:type="spellStart"/>
      <w:r w:rsidRPr="00034542">
        <w:rPr>
          <w:rFonts w:ascii="Times New Roman" w:hAnsi="Times New Roman" w:cs="Times New Roman"/>
          <w:sz w:val="20"/>
          <w:szCs w:val="20"/>
        </w:rPr>
        <w:t>Qingyan</w:t>
      </w:r>
      <w:proofErr w:type="spellEnd"/>
      <w:r w:rsidRPr="00034542">
        <w:rPr>
          <w:rFonts w:ascii="Times New Roman" w:hAnsi="Times New Roman" w:cs="Times New Roman"/>
          <w:sz w:val="20"/>
          <w:szCs w:val="20"/>
        </w:rPr>
        <w:t xml:space="preserve"> Fu; Yi Sun; </w:t>
      </w:r>
      <w:proofErr w:type="spellStart"/>
      <w:r w:rsidRPr="00034542">
        <w:rPr>
          <w:rFonts w:ascii="Times New Roman" w:hAnsi="Times New Roman" w:cs="Times New Roman"/>
          <w:sz w:val="20"/>
          <w:szCs w:val="20"/>
        </w:rPr>
        <w:t>Kun</w:t>
      </w:r>
      <w:proofErr w:type="spellEnd"/>
      <w:r w:rsidRPr="00034542">
        <w:rPr>
          <w:rFonts w:ascii="Times New Roman" w:hAnsi="Times New Roman" w:cs="Times New Roman"/>
          <w:sz w:val="20"/>
          <w:szCs w:val="20"/>
        </w:rPr>
        <w:t xml:space="preserve"> Zhang; Ling Huang; </w:t>
      </w:r>
      <w:proofErr w:type="spellStart"/>
      <w:r w:rsidRPr="00034542">
        <w:rPr>
          <w:rFonts w:ascii="Times New Roman" w:hAnsi="Times New Roman" w:cs="Times New Roman"/>
          <w:sz w:val="20"/>
          <w:szCs w:val="20"/>
        </w:rPr>
        <w:t>Yangjun</w:t>
      </w:r>
      <w:proofErr w:type="spellEnd"/>
      <w:r w:rsidRPr="00034542">
        <w:rPr>
          <w:rFonts w:ascii="Times New Roman" w:hAnsi="Times New Roman" w:cs="Times New Roman"/>
          <w:sz w:val="20"/>
          <w:szCs w:val="20"/>
        </w:rPr>
        <w:t xml:space="preserve"> Wang; </w:t>
      </w:r>
      <w:proofErr w:type="spellStart"/>
      <w:r w:rsidRPr="00034542">
        <w:rPr>
          <w:rFonts w:ascii="Times New Roman" w:hAnsi="Times New Roman" w:cs="Times New Roman"/>
          <w:sz w:val="20"/>
          <w:szCs w:val="20"/>
        </w:rPr>
        <w:t>Jiani</w:t>
      </w:r>
      <w:proofErr w:type="spellEnd"/>
      <w:r w:rsidRPr="00034542">
        <w:rPr>
          <w:rFonts w:ascii="Times New Roman" w:hAnsi="Times New Roman" w:cs="Times New Roman"/>
          <w:sz w:val="20"/>
          <w:szCs w:val="20"/>
        </w:rPr>
        <w:t xml:space="preserve"> Tan; Li Li*; Lina Wang; Dan Li; Christian George; </w:t>
      </w:r>
      <w:proofErr w:type="spellStart"/>
      <w:r w:rsidRPr="00034542">
        <w:rPr>
          <w:rFonts w:ascii="Times New Roman" w:hAnsi="Times New Roman" w:cs="Times New Roman"/>
          <w:sz w:val="20"/>
          <w:szCs w:val="20"/>
        </w:rPr>
        <w:t>Abdelwahid</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Mellouki</w:t>
      </w:r>
      <w:proofErr w:type="spellEnd"/>
      <w:r w:rsidRPr="00034542">
        <w:rPr>
          <w:rFonts w:ascii="Times New Roman" w:hAnsi="Times New Roman" w:cs="Times New Roman"/>
          <w:sz w:val="20"/>
          <w:szCs w:val="20"/>
        </w:rPr>
        <w:t>, &amp;</w:t>
      </w:r>
      <w:proofErr w:type="spellStart"/>
      <w:r w:rsidRPr="00034542">
        <w:rPr>
          <w:rFonts w:ascii="Times New Roman" w:hAnsi="Times New Roman" w:cs="Times New Roman"/>
          <w:sz w:val="20"/>
          <w:szCs w:val="20"/>
        </w:rPr>
        <w:t>Jianmin</w:t>
      </w:r>
      <w:proofErr w:type="spellEnd"/>
      <w:r w:rsidRPr="00034542">
        <w:rPr>
          <w:rFonts w:ascii="Times New Roman" w:hAnsi="Times New Roman" w:cs="Times New Roman"/>
          <w:sz w:val="20"/>
          <w:szCs w:val="20"/>
        </w:rPr>
        <w:t xml:space="preserve"> Chen (2023) Traffic, marine ships and nucleation as the main sources of ultrafine particles in suburban Shanghai, China. Environmental Science: Atmospheres. DOI: 10.1039/d3ea00096f.</w:t>
      </w:r>
    </w:p>
    <w:p w14:paraId="6ECA74BE" w14:textId="77777777" w:rsidR="00AE2204" w:rsidRPr="00034542" w:rsidRDefault="00AE2204" w:rsidP="00AE2204">
      <w:pPr>
        <w:pStyle w:val="a9"/>
        <w:numPr>
          <w:ilvl w:val="0"/>
          <w:numId w:val="3"/>
        </w:numPr>
        <w:jc w:val="both"/>
        <w:rPr>
          <w:rFonts w:ascii="Times New Roman" w:hAnsi="Times New Roman" w:cs="Times New Roman"/>
          <w:sz w:val="20"/>
          <w:szCs w:val="20"/>
        </w:rPr>
      </w:pPr>
      <w:r w:rsidRPr="00034542">
        <w:rPr>
          <w:rFonts w:ascii="Times New Roman" w:hAnsi="Times New Roman" w:cs="Times New Roman"/>
          <w:sz w:val="20"/>
          <w:szCs w:val="20"/>
        </w:rPr>
        <w:t xml:space="preserve">Ling Huang, </w:t>
      </w:r>
      <w:proofErr w:type="spellStart"/>
      <w:r w:rsidRPr="00034542">
        <w:rPr>
          <w:rFonts w:ascii="Times New Roman" w:hAnsi="Times New Roman" w:cs="Times New Roman"/>
          <w:sz w:val="20"/>
          <w:szCs w:val="20"/>
        </w:rPr>
        <w:t>Hanqing</w:t>
      </w:r>
      <w:proofErr w:type="spellEnd"/>
      <w:r w:rsidRPr="00034542">
        <w:rPr>
          <w:rFonts w:ascii="Times New Roman" w:hAnsi="Times New Roman" w:cs="Times New Roman"/>
          <w:sz w:val="20"/>
          <w:szCs w:val="20"/>
        </w:rPr>
        <w:t xml:space="preserve"> Liu, Greg </w:t>
      </w:r>
      <w:proofErr w:type="spellStart"/>
      <w:r w:rsidRPr="00034542">
        <w:rPr>
          <w:rFonts w:ascii="Times New Roman" w:hAnsi="Times New Roman" w:cs="Times New Roman"/>
          <w:sz w:val="20"/>
          <w:szCs w:val="20"/>
        </w:rPr>
        <w:t>Yarwood</w:t>
      </w:r>
      <w:proofErr w:type="spellEnd"/>
      <w:r w:rsidRPr="00034542">
        <w:rPr>
          <w:rFonts w:ascii="Times New Roman" w:hAnsi="Times New Roman" w:cs="Times New Roman"/>
          <w:sz w:val="20"/>
          <w:szCs w:val="20"/>
        </w:rPr>
        <w:t xml:space="preserve">, Gary Wilson, Jun Tao, </w:t>
      </w:r>
      <w:proofErr w:type="spellStart"/>
      <w:r w:rsidRPr="00034542">
        <w:rPr>
          <w:rFonts w:ascii="Times New Roman" w:hAnsi="Times New Roman" w:cs="Times New Roman"/>
          <w:sz w:val="20"/>
          <w:szCs w:val="20"/>
        </w:rPr>
        <w:t>Zhiwei</w:t>
      </w:r>
      <w:proofErr w:type="spellEnd"/>
      <w:r w:rsidRPr="00034542">
        <w:rPr>
          <w:rFonts w:ascii="Times New Roman" w:hAnsi="Times New Roman" w:cs="Times New Roman"/>
          <w:sz w:val="20"/>
          <w:szCs w:val="20"/>
        </w:rPr>
        <w:t xml:space="preserve"> Han, Dongsheng Ji, </w:t>
      </w:r>
      <w:proofErr w:type="spellStart"/>
      <w:r w:rsidRPr="00034542">
        <w:rPr>
          <w:rFonts w:ascii="Times New Roman" w:hAnsi="Times New Roman" w:cs="Times New Roman"/>
          <w:sz w:val="20"/>
          <w:szCs w:val="20"/>
        </w:rPr>
        <w:t>Yangjun</w:t>
      </w:r>
      <w:proofErr w:type="spellEnd"/>
      <w:r w:rsidRPr="00034542">
        <w:rPr>
          <w:rFonts w:ascii="Times New Roman" w:hAnsi="Times New Roman" w:cs="Times New Roman"/>
          <w:sz w:val="20"/>
          <w:szCs w:val="20"/>
        </w:rPr>
        <w:t xml:space="preserve"> Wang, Li Li*. Modeling of secondary organic aerosols (SOA) based on two commonly used air quality models in China: Consistent S/IVOCs contribution but large differences in SOA aging. Science of the Total Environment 2023, 903, 166162. https://doi.org/10.1016/j.scitotenv.2023.166162.</w:t>
      </w:r>
    </w:p>
    <w:p w14:paraId="67ED7E5A" w14:textId="77777777" w:rsidR="00AE2204" w:rsidRPr="00034542" w:rsidRDefault="00AE2204" w:rsidP="00AE2204">
      <w:pPr>
        <w:pStyle w:val="a9"/>
        <w:numPr>
          <w:ilvl w:val="0"/>
          <w:numId w:val="3"/>
        </w:numPr>
        <w:jc w:val="both"/>
        <w:rPr>
          <w:rFonts w:ascii="Times New Roman" w:hAnsi="Times New Roman" w:cs="Times New Roman"/>
          <w:sz w:val="20"/>
          <w:szCs w:val="20"/>
        </w:rPr>
      </w:pPr>
      <w:proofErr w:type="spellStart"/>
      <w:r w:rsidRPr="00034542">
        <w:rPr>
          <w:rFonts w:ascii="Times New Roman" w:hAnsi="Times New Roman" w:cs="Times New Roman"/>
          <w:sz w:val="20"/>
          <w:szCs w:val="20"/>
        </w:rPr>
        <w:t>Yangjun</w:t>
      </w:r>
      <w:proofErr w:type="spellEnd"/>
      <w:r w:rsidRPr="00034542">
        <w:rPr>
          <w:rFonts w:ascii="Times New Roman" w:hAnsi="Times New Roman" w:cs="Times New Roman"/>
          <w:sz w:val="20"/>
          <w:szCs w:val="20"/>
        </w:rPr>
        <w:t xml:space="preserve"> Wang; Miao Ning; </w:t>
      </w:r>
      <w:proofErr w:type="spellStart"/>
      <w:r w:rsidRPr="00034542">
        <w:rPr>
          <w:rFonts w:ascii="Times New Roman" w:hAnsi="Times New Roman" w:cs="Times New Roman"/>
          <w:sz w:val="20"/>
          <w:szCs w:val="20"/>
        </w:rPr>
        <w:t>Qingfang</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Su</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Lijuan</w:t>
      </w:r>
      <w:proofErr w:type="spellEnd"/>
      <w:r w:rsidRPr="00034542">
        <w:rPr>
          <w:rFonts w:ascii="Times New Roman" w:hAnsi="Times New Roman" w:cs="Times New Roman"/>
          <w:sz w:val="20"/>
          <w:szCs w:val="20"/>
        </w:rPr>
        <w:t xml:space="preserve"> Wang*; Sen Jiang; </w:t>
      </w:r>
      <w:proofErr w:type="spellStart"/>
      <w:r w:rsidRPr="00034542">
        <w:rPr>
          <w:rFonts w:ascii="Times New Roman" w:hAnsi="Times New Roman" w:cs="Times New Roman"/>
          <w:sz w:val="20"/>
          <w:szCs w:val="20"/>
        </w:rPr>
        <w:t>Yueyi</w:t>
      </w:r>
      <w:proofErr w:type="spellEnd"/>
      <w:r w:rsidRPr="00034542">
        <w:rPr>
          <w:rFonts w:ascii="Times New Roman" w:hAnsi="Times New Roman" w:cs="Times New Roman"/>
          <w:sz w:val="20"/>
          <w:szCs w:val="20"/>
        </w:rPr>
        <w:t xml:space="preserve"> Feng; </w:t>
      </w:r>
      <w:proofErr w:type="spellStart"/>
      <w:r w:rsidRPr="00034542">
        <w:rPr>
          <w:rFonts w:ascii="Times New Roman" w:hAnsi="Times New Roman" w:cs="Times New Roman"/>
          <w:sz w:val="20"/>
          <w:szCs w:val="20"/>
        </w:rPr>
        <w:t>Weiling</w:t>
      </w:r>
      <w:proofErr w:type="spellEnd"/>
      <w:r w:rsidRPr="00034542">
        <w:rPr>
          <w:rFonts w:ascii="Times New Roman" w:hAnsi="Times New Roman" w:cs="Times New Roman"/>
          <w:sz w:val="20"/>
          <w:szCs w:val="20"/>
        </w:rPr>
        <w:t xml:space="preserve"> Wu; Qian Tang; </w:t>
      </w:r>
      <w:proofErr w:type="spellStart"/>
      <w:r w:rsidRPr="00034542">
        <w:rPr>
          <w:rFonts w:ascii="Times New Roman" w:hAnsi="Times New Roman" w:cs="Times New Roman"/>
          <w:sz w:val="20"/>
          <w:szCs w:val="20"/>
        </w:rPr>
        <w:t>Shiyu</w:t>
      </w:r>
      <w:proofErr w:type="spellEnd"/>
      <w:r w:rsidRPr="00034542">
        <w:rPr>
          <w:rFonts w:ascii="Times New Roman" w:hAnsi="Times New Roman" w:cs="Times New Roman"/>
          <w:sz w:val="20"/>
          <w:szCs w:val="20"/>
        </w:rPr>
        <w:t xml:space="preserve"> Hou; </w:t>
      </w:r>
      <w:proofErr w:type="spellStart"/>
      <w:r w:rsidRPr="00034542">
        <w:rPr>
          <w:rFonts w:ascii="Times New Roman" w:hAnsi="Times New Roman" w:cs="Times New Roman"/>
          <w:sz w:val="20"/>
          <w:szCs w:val="20"/>
        </w:rPr>
        <w:t>Jinting</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Bian</w:t>
      </w:r>
      <w:proofErr w:type="spellEnd"/>
      <w:r w:rsidRPr="00034542">
        <w:rPr>
          <w:rFonts w:ascii="Times New Roman" w:hAnsi="Times New Roman" w:cs="Times New Roman"/>
          <w:sz w:val="20"/>
          <w:szCs w:val="20"/>
        </w:rPr>
        <w:t xml:space="preserve">; Ling Huang; </w:t>
      </w:r>
      <w:proofErr w:type="spellStart"/>
      <w:r w:rsidRPr="00034542">
        <w:rPr>
          <w:rFonts w:ascii="Times New Roman" w:hAnsi="Times New Roman" w:cs="Times New Roman"/>
          <w:sz w:val="20"/>
          <w:szCs w:val="20"/>
        </w:rPr>
        <w:t>Guibin</w:t>
      </w:r>
      <w:proofErr w:type="spellEnd"/>
      <w:r w:rsidRPr="00034542">
        <w:rPr>
          <w:rFonts w:ascii="Times New Roman" w:hAnsi="Times New Roman" w:cs="Times New Roman"/>
          <w:sz w:val="20"/>
          <w:szCs w:val="20"/>
        </w:rPr>
        <w:t xml:space="preserve"> Lu; </w:t>
      </w:r>
      <w:proofErr w:type="spellStart"/>
      <w:r w:rsidRPr="00034542">
        <w:rPr>
          <w:rFonts w:ascii="Times New Roman" w:hAnsi="Times New Roman" w:cs="Times New Roman"/>
          <w:sz w:val="20"/>
          <w:szCs w:val="20"/>
        </w:rPr>
        <w:t>Kasemsan</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Manomaiphiboon</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Burcak</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Kaynak</w:t>
      </w:r>
      <w:proofErr w:type="spellEnd"/>
      <w:r w:rsidRPr="00034542">
        <w:rPr>
          <w:rFonts w:ascii="Times New Roman" w:hAnsi="Times New Roman" w:cs="Times New Roman"/>
          <w:sz w:val="20"/>
          <w:szCs w:val="20"/>
        </w:rPr>
        <w:t xml:space="preserve">; </w:t>
      </w:r>
      <w:proofErr w:type="spellStart"/>
      <w:r w:rsidRPr="00034542">
        <w:rPr>
          <w:rFonts w:ascii="Times New Roman" w:hAnsi="Times New Roman" w:cs="Times New Roman"/>
          <w:sz w:val="20"/>
          <w:szCs w:val="20"/>
        </w:rPr>
        <w:t>Kun</w:t>
      </w:r>
      <w:proofErr w:type="spellEnd"/>
      <w:r w:rsidRPr="00034542">
        <w:rPr>
          <w:rFonts w:ascii="Times New Roman" w:hAnsi="Times New Roman" w:cs="Times New Roman"/>
          <w:sz w:val="20"/>
          <w:szCs w:val="20"/>
        </w:rPr>
        <w:t xml:space="preserve"> Zhang; Hui Chen, &amp;Li Li* (2024) Designing regional joint prevention and control schemes of PM2.5 based on source apportionment of chemical transport model: A case study of a heavy pollution episode. Journal of Cleaner Production. DOI: 10.1016/j.jclepro.2024.142313.</w:t>
      </w:r>
    </w:p>
    <w:p w14:paraId="4222BC26" w14:textId="5CC8FFC4" w:rsidR="00AE2204" w:rsidRPr="00034542" w:rsidRDefault="00AE2204" w:rsidP="00AE2204">
      <w:pPr>
        <w:pStyle w:val="a9"/>
        <w:numPr>
          <w:ilvl w:val="0"/>
          <w:numId w:val="3"/>
        </w:numPr>
        <w:jc w:val="both"/>
        <w:rPr>
          <w:rFonts w:ascii="Times New Roman" w:hAnsi="Times New Roman" w:cs="Times New Roman"/>
          <w:sz w:val="20"/>
          <w:szCs w:val="20"/>
        </w:rPr>
      </w:pPr>
      <w:proofErr w:type="spellStart"/>
      <w:r w:rsidRPr="00034542">
        <w:rPr>
          <w:rFonts w:ascii="Times New Roman" w:hAnsi="Times New Roman" w:cs="Times New Roman"/>
          <w:sz w:val="20"/>
          <w:szCs w:val="20"/>
        </w:rPr>
        <w:t>Sahir</w:t>
      </w:r>
      <w:proofErr w:type="spellEnd"/>
      <w:r w:rsidRPr="00034542">
        <w:rPr>
          <w:rFonts w:ascii="Times New Roman" w:hAnsi="Times New Roman" w:cs="Times New Roman"/>
          <w:sz w:val="20"/>
          <w:szCs w:val="20"/>
        </w:rPr>
        <w:t xml:space="preserve"> </w:t>
      </w:r>
      <w:bookmarkStart w:id="13" w:name="_Hlk187073310"/>
      <w:r w:rsidRPr="00034542">
        <w:rPr>
          <w:rFonts w:ascii="Times New Roman" w:hAnsi="Times New Roman" w:cs="Times New Roman"/>
          <w:sz w:val="20"/>
          <w:szCs w:val="20"/>
        </w:rPr>
        <w:t>Azmi</w:t>
      </w:r>
      <w:bookmarkEnd w:id="13"/>
      <w:r w:rsidRPr="00034542">
        <w:rPr>
          <w:rFonts w:ascii="Times New Roman" w:hAnsi="Times New Roman" w:cs="Times New Roman"/>
          <w:sz w:val="20"/>
          <w:szCs w:val="20"/>
        </w:rPr>
        <w:t>, Mukesh Sharma (2023) Global PM</w:t>
      </w:r>
      <w:r w:rsidR="004A6185" w:rsidRPr="004A6185">
        <w:rPr>
          <w:rFonts w:ascii="Times New Roman" w:hAnsi="Times New Roman" w:cs="Times New Roman" w:hint="eastAsia"/>
          <w:sz w:val="20"/>
          <w:szCs w:val="20"/>
          <w:vertAlign w:val="subscript"/>
        </w:rPr>
        <w:t>2.</w:t>
      </w:r>
      <w:r w:rsidRPr="004A6185">
        <w:rPr>
          <w:rFonts w:ascii="Times New Roman" w:hAnsi="Times New Roman" w:cs="Times New Roman"/>
          <w:sz w:val="20"/>
          <w:szCs w:val="20"/>
          <w:vertAlign w:val="subscript"/>
        </w:rPr>
        <w:t>5</w:t>
      </w:r>
      <w:r w:rsidRPr="00034542">
        <w:rPr>
          <w:rFonts w:ascii="Times New Roman" w:hAnsi="Times New Roman" w:cs="Times New Roman"/>
          <w:sz w:val="20"/>
          <w:szCs w:val="20"/>
        </w:rPr>
        <w:t xml:space="preserve"> and secondary organic aerosols (SOA) levels with sectorial contribution to anthropogenic and biogenic SOA formation. Chemosphere. https://doi.org/10.1016/j.chemosphere.2023.139195.</w:t>
      </w:r>
    </w:p>
    <w:p w14:paraId="33E10428" w14:textId="77777777"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Response:</w:t>
      </w:r>
    </w:p>
    <w:p w14:paraId="5A693C1C" w14:textId="26A9B5BD" w:rsidR="00AE2204" w:rsidRPr="00034542" w:rsidRDefault="00AE2204" w:rsidP="00AE2204">
      <w:pPr>
        <w:jc w:val="both"/>
        <w:rPr>
          <w:rFonts w:ascii="Times New Roman" w:hAnsi="Times New Roman" w:cs="Times New Roman"/>
          <w:color w:val="0000FF"/>
          <w:sz w:val="22"/>
          <w:szCs w:val="22"/>
        </w:rPr>
      </w:pPr>
      <w:r w:rsidRPr="00034542">
        <w:rPr>
          <w:rFonts w:ascii="Times New Roman" w:hAnsi="Times New Roman" w:cs="Times New Roman"/>
          <w:color w:val="0000FF"/>
          <w:sz w:val="22"/>
          <w:szCs w:val="22"/>
        </w:rPr>
        <w:t xml:space="preserve">Thanks for the </w:t>
      </w:r>
      <w:r w:rsidR="00034542">
        <w:rPr>
          <w:rFonts w:ascii="Times New Roman" w:hAnsi="Times New Roman" w:cs="Times New Roman"/>
          <w:color w:val="0000FF"/>
          <w:sz w:val="22"/>
          <w:szCs w:val="22"/>
        </w:rPr>
        <w:t>suggestion. We have included these up-to-date relevant papers for reference and the main text has been revised as follows:</w:t>
      </w:r>
    </w:p>
    <w:p w14:paraId="542C98E3" w14:textId="5773D693" w:rsidR="00923AD6" w:rsidRDefault="00034542" w:rsidP="00AE2204">
      <w:pPr>
        <w:jc w:val="both"/>
        <w:rPr>
          <w:rFonts w:ascii="Times New Roman" w:hAnsi="Times New Roman" w:cs="Times New Roman"/>
          <w:color w:val="0000FF"/>
          <w:sz w:val="22"/>
          <w:szCs w:val="22"/>
        </w:rPr>
      </w:pPr>
      <w:bookmarkStart w:id="14" w:name="OLE_LINK47"/>
      <w:r w:rsidRPr="00034542">
        <w:rPr>
          <w:rFonts w:ascii="Times New Roman" w:hAnsi="Times New Roman" w:cs="Times New Roman"/>
          <w:color w:val="0000FF"/>
          <w:sz w:val="22"/>
          <w:szCs w:val="22"/>
        </w:rPr>
        <w:t>“</w:t>
      </w:r>
      <w:r w:rsidR="001B7754" w:rsidRPr="00034542">
        <w:rPr>
          <w:rFonts w:ascii="Times New Roman" w:hAnsi="Times New Roman" w:cs="Times New Roman"/>
          <w:sz w:val="22"/>
          <w:szCs w:val="22"/>
        </w:rPr>
        <w:t>As a major air pollutant, fine particulate matter (PM</w:t>
      </w:r>
      <w:r w:rsidR="001B7754" w:rsidRPr="00034542">
        <w:rPr>
          <w:rFonts w:ascii="Times New Roman" w:hAnsi="Times New Roman" w:cs="Times New Roman"/>
          <w:sz w:val="22"/>
          <w:szCs w:val="22"/>
          <w:vertAlign w:val="subscript"/>
        </w:rPr>
        <w:t>2.5</w:t>
      </w:r>
      <w:r w:rsidR="001B7754" w:rsidRPr="00034542">
        <w:rPr>
          <w:rFonts w:ascii="Times New Roman" w:hAnsi="Times New Roman" w:cs="Times New Roman"/>
          <w:sz w:val="22"/>
          <w:szCs w:val="22"/>
        </w:rPr>
        <w:t>) leads to over three million premature deaths globally each year (</w:t>
      </w:r>
      <w:proofErr w:type="spellStart"/>
      <w:r w:rsidR="001B7754" w:rsidRPr="00034542">
        <w:rPr>
          <w:rFonts w:ascii="Times New Roman" w:hAnsi="Times New Roman" w:cs="Times New Roman"/>
          <w:sz w:val="22"/>
          <w:szCs w:val="22"/>
        </w:rPr>
        <w:t>Apte</w:t>
      </w:r>
      <w:proofErr w:type="spellEnd"/>
      <w:r w:rsidR="001B7754" w:rsidRPr="00034542">
        <w:rPr>
          <w:rFonts w:ascii="Times New Roman" w:hAnsi="Times New Roman" w:cs="Times New Roman"/>
          <w:sz w:val="22"/>
          <w:szCs w:val="22"/>
        </w:rPr>
        <w:t xml:space="preserve"> et al., 2018), mainly associated with lung cancer, ischemic heart disease, and stroke </w:t>
      </w:r>
      <w:bookmarkEnd w:id="14"/>
      <w:r w:rsidR="001B7754" w:rsidRPr="00034542">
        <w:rPr>
          <w:rFonts w:ascii="Times New Roman" w:hAnsi="Times New Roman" w:cs="Times New Roman"/>
          <w:sz w:val="22"/>
          <w:szCs w:val="22"/>
        </w:rPr>
        <w:t xml:space="preserve">(Guan et al., 2018; </w:t>
      </w:r>
      <w:proofErr w:type="spellStart"/>
      <w:r w:rsidR="001B7754" w:rsidRPr="00034542">
        <w:rPr>
          <w:rFonts w:ascii="Times New Roman" w:hAnsi="Times New Roman" w:cs="Times New Roman"/>
          <w:sz w:val="22"/>
          <w:szCs w:val="22"/>
        </w:rPr>
        <w:t>Xue</w:t>
      </w:r>
      <w:proofErr w:type="spellEnd"/>
      <w:r w:rsidR="001B7754" w:rsidRPr="00034542">
        <w:rPr>
          <w:rFonts w:ascii="Times New Roman" w:hAnsi="Times New Roman" w:cs="Times New Roman"/>
          <w:sz w:val="22"/>
          <w:szCs w:val="22"/>
        </w:rPr>
        <w:t xml:space="preserve"> et al., 2021). </w:t>
      </w:r>
      <w:bookmarkStart w:id="15" w:name="OLE_LINK33"/>
      <w:r w:rsidR="001B7754" w:rsidRPr="00034542">
        <w:rPr>
          <w:rFonts w:ascii="Times New Roman" w:hAnsi="Times New Roman" w:cs="Times New Roman"/>
          <w:sz w:val="22"/>
          <w:szCs w:val="22"/>
        </w:rPr>
        <w:t>Secondary organic aerosol (SOA)</w:t>
      </w:r>
      <w:bookmarkEnd w:id="15"/>
      <w:r w:rsidR="001B7754" w:rsidRPr="00034542">
        <w:rPr>
          <w:rFonts w:ascii="Times New Roman" w:hAnsi="Times New Roman" w:cs="Times New Roman"/>
          <w:sz w:val="22"/>
          <w:szCs w:val="22"/>
        </w:rPr>
        <w:t xml:space="preserve"> accounts for 12% to 77% of the total PM</w:t>
      </w:r>
      <w:r w:rsidR="001B7754" w:rsidRPr="00034542">
        <w:rPr>
          <w:rFonts w:ascii="Times New Roman" w:hAnsi="Times New Roman" w:cs="Times New Roman"/>
          <w:sz w:val="22"/>
          <w:szCs w:val="22"/>
          <w:vertAlign w:val="subscript"/>
        </w:rPr>
        <w:t xml:space="preserve">2.5 </w:t>
      </w:r>
      <w:r w:rsidR="001B7754" w:rsidRPr="00034542">
        <w:rPr>
          <w:rFonts w:ascii="Times New Roman" w:hAnsi="Times New Roman" w:cs="Times New Roman"/>
          <w:sz w:val="22"/>
          <w:szCs w:val="22"/>
        </w:rPr>
        <w:t xml:space="preserve">mass based on global source apportionment results (Huang et al., 2014; Sun et al., 2020; Zhang et al., 2021). Observation studies have demonstrated that SOA </w:t>
      </w:r>
      <w:r w:rsidR="001B7754" w:rsidRPr="00034542">
        <w:rPr>
          <w:rFonts w:ascii="Times New Roman" w:hAnsi="Times New Roman" w:cs="Times New Roman"/>
          <w:sz w:val="22"/>
          <w:szCs w:val="22"/>
        </w:rPr>
        <w:lastRenderedPageBreak/>
        <w:t xml:space="preserve">contributions increase with the severity of pollution during haze episodes in megacities in China (He et al., 2020; Ho, 2016; Li et al., 2015; </w:t>
      </w:r>
      <w:r w:rsidR="001B7754" w:rsidRPr="00034542">
        <w:rPr>
          <w:rFonts w:ascii="Times New Roman" w:hAnsi="Times New Roman" w:cs="Times New Roman"/>
          <w:color w:val="FF0000"/>
          <w:sz w:val="22"/>
          <w:szCs w:val="22"/>
        </w:rPr>
        <w:t>Azmi et al., 2023; Wang et al., 2023; Wang et al., 2024</w:t>
      </w:r>
      <w:r w:rsidR="001B7754" w:rsidRPr="00034542">
        <w:rPr>
          <w:rFonts w:ascii="Times New Roman" w:hAnsi="Times New Roman" w:cs="Times New Roman"/>
          <w:sz w:val="22"/>
          <w:szCs w:val="22"/>
        </w:rPr>
        <w:t xml:space="preserve">). </w:t>
      </w:r>
      <w:bookmarkStart w:id="16" w:name="OLE_LINK34"/>
      <w:r w:rsidR="001B7754" w:rsidRPr="00034542">
        <w:rPr>
          <w:rFonts w:ascii="Times New Roman" w:hAnsi="Times New Roman" w:cs="Times New Roman"/>
          <w:sz w:val="22"/>
          <w:szCs w:val="22"/>
        </w:rPr>
        <w:t>Among potential SOA precursors, intermediate-volatility and semi-volatile organic compounds (I/SVOCs)</w:t>
      </w:r>
      <w:bookmarkEnd w:id="16"/>
      <w:r w:rsidR="001B7754" w:rsidRPr="00034542">
        <w:rPr>
          <w:rFonts w:ascii="Times New Roman" w:hAnsi="Times New Roman" w:cs="Times New Roman"/>
          <w:sz w:val="22"/>
          <w:szCs w:val="22"/>
        </w:rPr>
        <w:t>, with effective saturation concentrations (C</w:t>
      </w:r>
      <w:r w:rsidR="001B7754" w:rsidRPr="00034542">
        <w:rPr>
          <w:rFonts w:ascii="Times New Roman" w:hAnsi="Times New Roman" w:cs="Times New Roman"/>
          <w:sz w:val="22"/>
          <w:szCs w:val="22"/>
          <w:vertAlign w:val="superscript"/>
        </w:rPr>
        <w:t>*</w:t>
      </w:r>
      <w:r w:rsidR="001B7754" w:rsidRPr="00034542">
        <w:rPr>
          <w:rFonts w:ascii="Times New Roman" w:hAnsi="Times New Roman" w:cs="Times New Roman"/>
          <w:sz w:val="22"/>
          <w:szCs w:val="22"/>
        </w:rPr>
        <w:t>) between 10</w:t>
      </w:r>
      <w:r w:rsidR="001B7754" w:rsidRPr="00034542">
        <w:rPr>
          <w:rFonts w:ascii="Times New Roman" w:hAnsi="Times New Roman" w:cs="Times New Roman"/>
          <w:sz w:val="22"/>
          <w:szCs w:val="22"/>
          <w:vertAlign w:val="superscript"/>
        </w:rPr>
        <w:t>3</w:t>
      </w:r>
      <w:r w:rsidR="001B7754" w:rsidRPr="00034542">
        <w:rPr>
          <w:rFonts w:ascii="Times New Roman" w:hAnsi="Times New Roman" w:cs="Times New Roman"/>
          <w:sz w:val="22"/>
          <w:szCs w:val="22"/>
        </w:rPr>
        <w:t xml:space="preserve"> to 10</w:t>
      </w:r>
      <w:r w:rsidR="001B7754" w:rsidRPr="00034542">
        <w:rPr>
          <w:rFonts w:ascii="Times New Roman" w:hAnsi="Times New Roman" w:cs="Times New Roman"/>
          <w:sz w:val="22"/>
          <w:szCs w:val="22"/>
          <w:vertAlign w:val="superscript"/>
        </w:rPr>
        <w:t>6</w:t>
      </w:r>
      <w:r w:rsidR="001B7754" w:rsidRPr="00034542">
        <w:rPr>
          <w:rFonts w:ascii="Times New Roman" w:hAnsi="Times New Roman" w:cs="Times New Roman"/>
          <w:sz w:val="22"/>
          <w:szCs w:val="22"/>
        </w:rPr>
        <w:t xml:space="preserve"> and 10</w:t>
      </w:r>
      <w:r w:rsidR="001B7754" w:rsidRPr="00034542">
        <w:rPr>
          <w:rFonts w:ascii="Times New Roman" w:hAnsi="Times New Roman" w:cs="Times New Roman"/>
          <w:sz w:val="22"/>
          <w:szCs w:val="22"/>
          <w:vertAlign w:val="superscript"/>
        </w:rPr>
        <w:t>0</w:t>
      </w:r>
      <w:r w:rsidR="001B7754" w:rsidRPr="00034542">
        <w:rPr>
          <w:rFonts w:ascii="Times New Roman" w:hAnsi="Times New Roman" w:cs="Times New Roman"/>
          <w:sz w:val="22"/>
          <w:szCs w:val="22"/>
        </w:rPr>
        <w:t xml:space="preserve"> to 10</w:t>
      </w:r>
      <w:r w:rsidR="001B7754" w:rsidRPr="00034542">
        <w:rPr>
          <w:rFonts w:ascii="Times New Roman" w:hAnsi="Times New Roman" w:cs="Times New Roman"/>
          <w:sz w:val="22"/>
          <w:szCs w:val="22"/>
          <w:vertAlign w:val="superscript"/>
        </w:rPr>
        <w:t>2</w:t>
      </w:r>
      <w:r w:rsidR="001B7754" w:rsidRPr="00034542">
        <w:rPr>
          <w:rFonts w:ascii="Times New Roman" w:hAnsi="Times New Roman" w:cs="Times New Roman"/>
          <w:sz w:val="22"/>
          <w:szCs w:val="22"/>
        </w:rPr>
        <w:t xml:space="preserve"> </w:t>
      </w:r>
      <w:bookmarkStart w:id="17" w:name="OLE_LINK6"/>
      <w:r w:rsidR="001B7754" w:rsidRPr="00034542">
        <w:rPr>
          <w:rFonts w:ascii="Times New Roman" w:hAnsi="Times New Roman" w:cs="Times New Roman"/>
          <w:sz w:val="22"/>
          <w:szCs w:val="22"/>
        </w:rPr>
        <w:t>μg·m</w:t>
      </w:r>
      <w:r w:rsidR="001B7754" w:rsidRPr="00034542">
        <w:rPr>
          <w:rFonts w:ascii="Times New Roman" w:hAnsi="Times New Roman" w:cs="Times New Roman"/>
          <w:sz w:val="22"/>
          <w:szCs w:val="22"/>
          <w:vertAlign w:val="superscript"/>
        </w:rPr>
        <w:t>-3</w:t>
      </w:r>
      <w:bookmarkEnd w:id="17"/>
      <w:r w:rsidR="001B7754" w:rsidRPr="00034542">
        <w:rPr>
          <w:rFonts w:ascii="Times New Roman" w:hAnsi="Times New Roman" w:cs="Times New Roman"/>
          <w:sz w:val="22"/>
          <w:szCs w:val="22"/>
        </w:rPr>
        <w:t xml:space="preserve">, </w:t>
      </w:r>
      <w:bookmarkStart w:id="18" w:name="OLE_LINK48"/>
      <w:r w:rsidR="001B7754" w:rsidRPr="00034542">
        <w:rPr>
          <w:rFonts w:ascii="Times New Roman" w:hAnsi="Times New Roman" w:cs="Times New Roman"/>
          <w:sz w:val="22"/>
          <w:szCs w:val="22"/>
        </w:rPr>
        <w:t xml:space="preserve">have been demonstrated to be more effective than </w:t>
      </w:r>
      <w:bookmarkStart w:id="19" w:name="OLE_LINK35"/>
      <w:r w:rsidR="001B7754" w:rsidRPr="00034542">
        <w:rPr>
          <w:rFonts w:ascii="Times New Roman" w:hAnsi="Times New Roman" w:cs="Times New Roman"/>
          <w:sz w:val="22"/>
          <w:szCs w:val="22"/>
        </w:rPr>
        <w:t>volatile organic compounds (VOCs)</w:t>
      </w:r>
      <w:bookmarkEnd w:id="18"/>
      <w:bookmarkEnd w:id="19"/>
      <w:r>
        <w:rPr>
          <w:rFonts w:ascii="Times New Roman" w:hAnsi="Times New Roman" w:cs="Times New Roman"/>
          <w:sz w:val="22"/>
          <w:szCs w:val="22"/>
        </w:rPr>
        <w:t xml:space="preserve"> </w:t>
      </w:r>
      <w:r w:rsidR="001B7754" w:rsidRPr="00034542">
        <w:rPr>
          <w:rFonts w:ascii="Times New Roman" w:hAnsi="Times New Roman" w:cs="Times New Roman"/>
          <w:sz w:val="22"/>
          <w:szCs w:val="22"/>
        </w:rPr>
        <w:t xml:space="preserve">(Daniel S. </w:t>
      </w:r>
      <w:proofErr w:type="spellStart"/>
      <w:r w:rsidR="001B7754" w:rsidRPr="00034542">
        <w:rPr>
          <w:rFonts w:ascii="Times New Roman" w:hAnsi="Times New Roman" w:cs="Times New Roman"/>
          <w:sz w:val="22"/>
          <w:szCs w:val="22"/>
        </w:rPr>
        <w:t>Tkacik</w:t>
      </w:r>
      <w:proofErr w:type="spellEnd"/>
      <w:r w:rsidR="001B7754" w:rsidRPr="00034542">
        <w:rPr>
          <w:rFonts w:ascii="Times New Roman" w:hAnsi="Times New Roman" w:cs="Times New Roman"/>
          <w:sz w:val="22"/>
          <w:szCs w:val="22"/>
        </w:rPr>
        <w:t xml:space="preserve"> et al., 2012; </w:t>
      </w:r>
      <w:proofErr w:type="spellStart"/>
      <w:r w:rsidR="001B7754" w:rsidRPr="00034542">
        <w:rPr>
          <w:rFonts w:ascii="Times New Roman" w:hAnsi="Times New Roman" w:cs="Times New Roman"/>
          <w:sz w:val="22"/>
          <w:szCs w:val="22"/>
        </w:rPr>
        <w:t>Jathar</w:t>
      </w:r>
      <w:proofErr w:type="spellEnd"/>
      <w:r w:rsidR="001B7754" w:rsidRPr="00034542">
        <w:rPr>
          <w:rFonts w:ascii="Times New Roman" w:hAnsi="Times New Roman" w:cs="Times New Roman"/>
          <w:sz w:val="22"/>
          <w:szCs w:val="22"/>
        </w:rPr>
        <w:t xml:space="preserve"> et al., 2013; </w:t>
      </w:r>
      <w:proofErr w:type="spellStart"/>
      <w:r w:rsidR="001B7754" w:rsidRPr="00034542">
        <w:rPr>
          <w:rFonts w:ascii="Times New Roman" w:hAnsi="Times New Roman" w:cs="Times New Roman"/>
          <w:sz w:val="22"/>
          <w:szCs w:val="22"/>
        </w:rPr>
        <w:t>Morino</w:t>
      </w:r>
      <w:proofErr w:type="spellEnd"/>
      <w:r w:rsidR="001B7754" w:rsidRPr="00034542">
        <w:rPr>
          <w:rFonts w:ascii="Times New Roman" w:hAnsi="Times New Roman" w:cs="Times New Roman"/>
          <w:sz w:val="22"/>
          <w:szCs w:val="22"/>
        </w:rPr>
        <w:t xml:space="preserve"> et al., 2022; </w:t>
      </w:r>
      <w:r w:rsidR="001B7754" w:rsidRPr="00034542">
        <w:rPr>
          <w:rFonts w:ascii="Times New Roman" w:hAnsi="Times New Roman" w:cs="Times New Roman"/>
          <w:color w:val="FF0000"/>
          <w:sz w:val="22"/>
          <w:szCs w:val="22"/>
        </w:rPr>
        <w:t>Sommers et al., 2022; Huang et al., 2023</w:t>
      </w:r>
      <w:r>
        <w:rPr>
          <w:rFonts w:ascii="Times New Roman" w:hAnsi="Times New Roman" w:cs="Times New Roman"/>
          <w:sz w:val="22"/>
          <w:szCs w:val="22"/>
        </w:rPr>
        <w:t>). …</w:t>
      </w:r>
      <w:r w:rsidRPr="00034542">
        <w:rPr>
          <w:rFonts w:ascii="Times New Roman" w:hAnsi="Times New Roman" w:cs="Times New Roman"/>
          <w:color w:val="0000FF"/>
          <w:sz w:val="22"/>
          <w:szCs w:val="22"/>
        </w:rPr>
        <w:t>”</w:t>
      </w:r>
    </w:p>
    <w:p w14:paraId="1E1160C3" w14:textId="77777777" w:rsidR="002E57EC" w:rsidRPr="002E57EC" w:rsidRDefault="002E57EC" w:rsidP="002E57EC">
      <w:pPr>
        <w:jc w:val="both"/>
        <w:rPr>
          <w:rFonts w:ascii="Times New Roman" w:hAnsi="Times New Roman" w:cs="Times New Roman"/>
          <w:color w:val="0000FF"/>
          <w:sz w:val="22"/>
          <w:szCs w:val="22"/>
        </w:rPr>
      </w:pPr>
      <w:r>
        <w:rPr>
          <w:rFonts w:ascii="Times New Roman" w:hAnsi="Times New Roman" w:cs="Times New Roman"/>
          <w:color w:val="0000FF"/>
          <w:sz w:val="22"/>
          <w:szCs w:val="22"/>
        </w:rPr>
        <w:t>“</w:t>
      </w:r>
      <w:r w:rsidRPr="002E57EC">
        <w:rPr>
          <w:rFonts w:ascii="Times New Roman" w:hAnsi="Times New Roman" w:cs="Times New Roman"/>
          <w:b/>
          <w:bCs/>
          <w:sz w:val="22"/>
          <w:szCs w:val="22"/>
        </w:rPr>
        <w:t>Reference</w:t>
      </w:r>
      <w:r w:rsidRPr="0062370D">
        <w:rPr>
          <w:rFonts w:ascii="Times New Roman" w:hAnsi="Times New Roman" w:cs="Times New Roman"/>
          <w:sz w:val="22"/>
          <w:szCs w:val="22"/>
        </w:rPr>
        <w:t xml:space="preserve"> …</w:t>
      </w:r>
    </w:p>
    <w:p w14:paraId="1BB9CB92" w14:textId="5C8C5C90" w:rsidR="002E57EC" w:rsidRDefault="00AF7D2F" w:rsidP="002E57EC">
      <w:pPr>
        <w:jc w:val="both"/>
        <w:rPr>
          <w:rFonts w:ascii="Times New Roman" w:hAnsi="Times New Roman" w:cs="Times New Roman"/>
          <w:color w:val="FF0000"/>
          <w:sz w:val="22"/>
          <w:szCs w:val="22"/>
        </w:rPr>
      </w:pPr>
      <w:r w:rsidRPr="00AF7D2F">
        <w:rPr>
          <w:rFonts w:ascii="Times New Roman" w:hAnsi="Times New Roman" w:cs="Times New Roman"/>
          <w:color w:val="FF0000"/>
          <w:sz w:val="22"/>
          <w:szCs w:val="22"/>
        </w:rPr>
        <w:t>Azmi, S. and Sharma, M.: Global PM2.5 and secondary organic aerosols (SOA) levels with sectorial contribution to anthropogenic and biogenic SOA formation, Chemosphere, 336, 139195, https://doi.org/10.1016/j.chemosphere.2023.139195, 2023.</w:t>
      </w:r>
    </w:p>
    <w:p w14:paraId="0FC7E1DF" w14:textId="0FAEF2C6" w:rsidR="00AF7D2F" w:rsidRPr="0062370D" w:rsidRDefault="00AF7D2F" w:rsidP="002E57EC">
      <w:pPr>
        <w:jc w:val="both"/>
        <w:rPr>
          <w:rFonts w:ascii="Times New Roman" w:hAnsi="Times New Roman" w:cs="Times New Roman"/>
          <w:sz w:val="22"/>
          <w:szCs w:val="22"/>
        </w:rPr>
      </w:pPr>
      <w:r w:rsidRPr="0062370D">
        <w:rPr>
          <w:rFonts w:ascii="Times New Roman" w:hAnsi="Times New Roman" w:cs="Times New Roman"/>
          <w:sz w:val="22"/>
          <w:szCs w:val="22"/>
        </w:rPr>
        <w:t>…</w:t>
      </w:r>
    </w:p>
    <w:p w14:paraId="7B190EB6" w14:textId="77777777" w:rsidR="0062370D" w:rsidRPr="0062370D" w:rsidRDefault="0062370D" w:rsidP="002E57EC">
      <w:pPr>
        <w:jc w:val="both"/>
        <w:rPr>
          <w:rFonts w:ascii="Times New Roman" w:hAnsi="Times New Roman" w:cs="Times New Roman"/>
          <w:color w:val="FF0000"/>
          <w:sz w:val="22"/>
          <w:szCs w:val="22"/>
        </w:rPr>
      </w:pPr>
      <w:r w:rsidRPr="0062370D">
        <w:rPr>
          <w:rFonts w:ascii="Times New Roman" w:hAnsi="Times New Roman" w:cs="Times New Roman"/>
          <w:color w:val="FF0000"/>
          <w:sz w:val="22"/>
          <w:szCs w:val="22"/>
        </w:rPr>
        <w:t xml:space="preserve">Huang, L., Liu, H., </w:t>
      </w:r>
      <w:proofErr w:type="spellStart"/>
      <w:r w:rsidRPr="0062370D">
        <w:rPr>
          <w:rFonts w:ascii="Times New Roman" w:hAnsi="Times New Roman" w:cs="Times New Roman"/>
          <w:color w:val="FF0000"/>
          <w:sz w:val="22"/>
          <w:szCs w:val="22"/>
        </w:rPr>
        <w:t>Yarwood</w:t>
      </w:r>
      <w:proofErr w:type="spellEnd"/>
      <w:r w:rsidRPr="0062370D">
        <w:rPr>
          <w:rFonts w:ascii="Times New Roman" w:hAnsi="Times New Roman" w:cs="Times New Roman"/>
          <w:color w:val="FF0000"/>
          <w:sz w:val="22"/>
          <w:szCs w:val="22"/>
        </w:rPr>
        <w:t>, G., Wilson, G., Tao, J., Han, Z., Ji, D., Wang, Y., and Li, L.: Modeling of secondary organic aerosols (SOA) based on two commonly used air quality models in China: Consistent S/IVOCs contribution but large differences in SOA aging, Sci Total Environ, 903, 166162, https://doi.org/10.1016/j.scitotenv.2023.166162, 2023.</w:t>
      </w:r>
    </w:p>
    <w:p w14:paraId="6221F86D" w14:textId="77777777" w:rsidR="0062370D" w:rsidRPr="0062370D" w:rsidRDefault="0062370D" w:rsidP="002E57EC">
      <w:pPr>
        <w:jc w:val="both"/>
        <w:rPr>
          <w:rFonts w:ascii="Times New Roman" w:hAnsi="Times New Roman" w:cs="Times New Roman"/>
          <w:sz w:val="22"/>
          <w:szCs w:val="22"/>
        </w:rPr>
      </w:pPr>
      <w:r w:rsidRPr="0062370D">
        <w:rPr>
          <w:rFonts w:ascii="Times New Roman" w:hAnsi="Times New Roman" w:cs="Times New Roman"/>
          <w:sz w:val="22"/>
          <w:szCs w:val="22"/>
        </w:rPr>
        <w:t>…</w:t>
      </w:r>
    </w:p>
    <w:p w14:paraId="6E258EC4" w14:textId="77777777" w:rsidR="0062370D" w:rsidRPr="0062370D" w:rsidRDefault="0062370D" w:rsidP="002E57EC">
      <w:pPr>
        <w:jc w:val="both"/>
        <w:rPr>
          <w:rFonts w:ascii="Times New Roman" w:hAnsi="Times New Roman" w:cs="Times New Roman"/>
          <w:color w:val="FF0000"/>
          <w:sz w:val="22"/>
          <w:szCs w:val="22"/>
        </w:rPr>
      </w:pPr>
      <w:r w:rsidRPr="0062370D">
        <w:rPr>
          <w:rFonts w:ascii="Times New Roman" w:hAnsi="Times New Roman" w:cs="Times New Roman"/>
          <w:color w:val="FF0000"/>
          <w:sz w:val="22"/>
          <w:szCs w:val="22"/>
        </w:rPr>
        <w:t xml:space="preserve">Sommers, J. M., Stroud, C. A., Adam, M. G., O’Brien, J., Brook, J. R., Hayden, K., Lee, A. K. Y., Li, K., </w:t>
      </w:r>
      <w:proofErr w:type="spellStart"/>
      <w:r w:rsidRPr="0062370D">
        <w:rPr>
          <w:rFonts w:ascii="Times New Roman" w:hAnsi="Times New Roman" w:cs="Times New Roman"/>
          <w:color w:val="FF0000"/>
          <w:sz w:val="22"/>
          <w:szCs w:val="22"/>
        </w:rPr>
        <w:t>Liggio</w:t>
      </w:r>
      <w:proofErr w:type="spellEnd"/>
      <w:r w:rsidRPr="0062370D">
        <w:rPr>
          <w:rFonts w:ascii="Times New Roman" w:hAnsi="Times New Roman" w:cs="Times New Roman"/>
          <w:color w:val="FF0000"/>
          <w:sz w:val="22"/>
          <w:szCs w:val="22"/>
        </w:rPr>
        <w:t xml:space="preserve">, J., </w:t>
      </w:r>
      <w:proofErr w:type="spellStart"/>
      <w:r w:rsidRPr="0062370D">
        <w:rPr>
          <w:rFonts w:ascii="Times New Roman" w:hAnsi="Times New Roman" w:cs="Times New Roman"/>
          <w:color w:val="FF0000"/>
          <w:sz w:val="22"/>
          <w:szCs w:val="22"/>
        </w:rPr>
        <w:t>Mihele</w:t>
      </w:r>
      <w:proofErr w:type="spellEnd"/>
      <w:r w:rsidRPr="0062370D">
        <w:rPr>
          <w:rFonts w:ascii="Times New Roman" w:hAnsi="Times New Roman" w:cs="Times New Roman"/>
          <w:color w:val="FF0000"/>
          <w:sz w:val="22"/>
          <w:szCs w:val="22"/>
        </w:rPr>
        <w:t xml:space="preserve">, C., Mittermeier, R. L., Stevens, R. G., </w:t>
      </w:r>
      <w:proofErr w:type="spellStart"/>
      <w:r w:rsidRPr="0062370D">
        <w:rPr>
          <w:rFonts w:ascii="Times New Roman" w:hAnsi="Times New Roman" w:cs="Times New Roman"/>
          <w:color w:val="FF0000"/>
          <w:sz w:val="22"/>
          <w:szCs w:val="22"/>
        </w:rPr>
        <w:t>Wolde</w:t>
      </w:r>
      <w:proofErr w:type="spellEnd"/>
      <w:r w:rsidRPr="0062370D">
        <w:rPr>
          <w:rFonts w:ascii="Times New Roman" w:hAnsi="Times New Roman" w:cs="Times New Roman"/>
          <w:color w:val="FF0000"/>
          <w:sz w:val="22"/>
          <w:szCs w:val="22"/>
        </w:rPr>
        <w:t xml:space="preserve">, M., </w:t>
      </w:r>
      <w:proofErr w:type="spellStart"/>
      <w:r w:rsidRPr="0062370D">
        <w:rPr>
          <w:rFonts w:ascii="Times New Roman" w:hAnsi="Times New Roman" w:cs="Times New Roman"/>
          <w:color w:val="FF0000"/>
          <w:sz w:val="22"/>
          <w:szCs w:val="22"/>
        </w:rPr>
        <w:t>Zuend</w:t>
      </w:r>
      <w:proofErr w:type="spellEnd"/>
      <w:r w:rsidRPr="0062370D">
        <w:rPr>
          <w:rFonts w:ascii="Times New Roman" w:hAnsi="Times New Roman" w:cs="Times New Roman"/>
          <w:color w:val="FF0000"/>
          <w:sz w:val="22"/>
          <w:szCs w:val="22"/>
        </w:rPr>
        <w:t>, A., and Hayes, P. L.: Evaluating SOA formation from different sources of semi- and intermediate-volatility organic compounds from the Athabasca oil sands, Environ. Sci.: Atmos., 2, 469–490, https://doi.org/10.1039/D1EA00053E, 2022.</w:t>
      </w:r>
    </w:p>
    <w:p w14:paraId="35673287" w14:textId="77777777" w:rsidR="0062370D" w:rsidRPr="0062370D" w:rsidRDefault="0062370D" w:rsidP="002E57EC">
      <w:pPr>
        <w:jc w:val="both"/>
        <w:rPr>
          <w:rFonts w:ascii="Times New Roman" w:hAnsi="Times New Roman" w:cs="Times New Roman"/>
          <w:sz w:val="22"/>
          <w:szCs w:val="22"/>
        </w:rPr>
      </w:pPr>
      <w:r w:rsidRPr="0062370D">
        <w:rPr>
          <w:rFonts w:ascii="Times New Roman" w:hAnsi="Times New Roman" w:cs="Times New Roman"/>
          <w:sz w:val="22"/>
          <w:szCs w:val="22"/>
        </w:rPr>
        <w:t>…</w:t>
      </w:r>
    </w:p>
    <w:p w14:paraId="446689C9" w14:textId="77777777" w:rsidR="0062370D" w:rsidRPr="0062370D" w:rsidRDefault="0062370D" w:rsidP="0062370D">
      <w:pPr>
        <w:jc w:val="both"/>
        <w:rPr>
          <w:rFonts w:ascii="Times New Roman" w:hAnsi="Times New Roman" w:cs="Times New Roman"/>
          <w:color w:val="FF0000"/>
          <w:sz w:val="22"/>
          <w:szCs w:val="22"/>
        </w:rPr>
      </w:pPr>
      <w:r w:rsidRPr="0062370D">
        <w:rPr>
          <w:rFonts w:ascii="Times New Roman" w:hAnsi="Times New Roman" w:cs="Times New Roman"/>
          <w:color w:val="FF0000"/>
          <w:sz w:val="22"/>
          <w:szCs w:val="22"/>
        </w:rPr>
        <w:t xml:space="preserve">Wang, Q., </w:t>
      </w:r>
      <w:proofErr w:type="spellStart"/>
      <w:r w:rsidRPr="0062370D">
        <w:rPr>
          <w:rFonts w:ascii="Times New Roman" w:hAnsi="Times New Roman" w:cs="Times New Roman"/>
          <w:color w:val="FF0000"/>
          <w:sz w:val="22"/>
          <w:szCs w:val="22"/>
        </w:rPr>
        <w:t>Huo</w:t>
      </w:r>
      <w:proofErr w:type="spellEnd"/>
      <w:r w:rsidRPr="0062370D">
        <w:rPr>
          <w:rFonts w:ascii="Times New Roman" w:hAnsi="Times New Roman" w:cs="Times New Roman"/>
          <w:color w:val="FF0000"/>
          <w:sz w:val="22"/>
          <w:szCs w:val="22"/>
        </w:rPr>
        <w:t xml:space="preserve">, J., Chen, H., Duan, Y., Fu, Q., Sun, Y., Zhang, K., Huang, L., Wang, Y., Tan, J., Li, L., Wang, L., Li, D., George, C., </w:t>
      </w:r>
      <w:proofErr w:type="spellStart"/>
      <w:r w:rsidRPr="0062370D">
        <w:rPr>
          <w:rFonts w:ascii="Times New Roman" w:hAnsi="Times New Roman" w:cs="Times New Roman"/>
          <w:color w:val="FF0000"/>
          <w:sz w:val="22"/>
          <w:szCs w:val="22"/>
        </w:rPr>
        <w:t>Mellouki</w:t>
      </w:r>
      <w:proofErr w:type="spellEnd"/>
      <w:r w:rsidRPr="0062370D">
        <w:rPr>
          <w:rFonts w:ascii="Times New Roman" w:hAnsi="Times New Roman" w:cs="Times New Roman"/>
          <w:color w:val="FF0000"/>
          <w:sz w:val="22"/>
          <w:szCs w:val="22"/>
        </w:rPr>
        <w:t>, A., and Chen, J.: Traffic, marine ships and nucleation as the main sources of ultrafine particles in suburban Shanghai, China, Environ. Sci.: Atmos., 3, 1805–1819, https://doi.org/10.1039/D3EA00096F, 2023.</w:t>
      </w:r>
    </w:p>
    <w:p w14:paraId="7D3CA290" w14:textId="4DA8C588" w:rsidR="0062370D" w:rsidRPr="0062370D" w:rsidRDefault="0062370D" w:rsidP="0062370D">
      <w:pPr>
        <w:jc w:val="both"/>
        <w:rPr>
          <w:rFonts w:ascii="Times New Roman" w:hAnsi="Times New Roman" w:cs="Times New Roman"/>
          <w:color w:val="FF0000"/>
          <w:sz w:val="22"/>
          <w:szCs w:val="22"/>
        </w:rPr>
      </w:pPr>
      <w:r w:rsidRPr="0062370D">
        <w:rPr>
          <w:rFonts w:ascii="Times New Roman" w:hAnsi="Times New Roman" w:cs="Times New Roman"/>
          <w:color w:val="FF0000"/>
          <w:sz w:val="22"/>
          <w:szCs w:val="22"/>
        </w:rPr>
        <w:t xml:space="preserve">Wang, Y., Ning, M., </w:t>
      </w:r>
      <w:proofErr w:type="spellStart"/>
      <w:r w:rsidRPr="0062370D">
        <w:rPr>
          <w:rFonts w:ascii="Times New Roman" w:hAnsi="Times New Roman" w:cs="Times New Roman"/>
          <w:color w:val="FF0000"/>
          <w:sz w:val="22"/>
          <w:szCs w:val="22"/>
        </w:rPr>
        <w:t>Su</w:t>
      </w:r>
      <w:proofErr w:type="spellEnd"/>
      <w:r w:rsidRPr="0062370D">
        <w:rPr>
          <w:rFonts w:ascii="Times New Roman" w:hAnsi="Times New Roman" w:cs="Times New Roman"/>
          <w:color w:val="FF0000"/>
          <w:sz w:val="22"/>
          <w:szCs w:val="22"/>
        </w:rPr>
        <w:t xml:space="preserve">, Q., Wang, L., Jiang, S., Feng, Y., Wu, W., Tang, Q., Hou, S., </w:t>
      </w:r>
      <w:proofErr w:type="spellStart"/>
      <w:r w:rsidRPr="0062370D">
        <w:rPr>
          <w:rFonts w:ascii="Times New Roman" w:hAnsi="Times New Roman" w:cs="Times New Roman"/>
          <w:color w:val="FF0000"/>
          <w:sz w:val="22"/>
          <w:szCs w:val="22"/>
        </w:rPr>
        <w:t>Bian</w:t>
      </w:r>
      <w:proofErr w:type="spellEnd"/>
      <w:r w:rsidRPr="0062370D">
        <w:rPr>
          <w:rFonts w:ascii="Times New Roman" w:hAnsi="Times New Roman" w:cs="Times New Roman"/>
          <w:color w:val="FF0000"/>
          <w:sz w:val="22"/>
          <w:szCs w:val="22"/>
        </w:rPr>
        <w:t xml:space="preserve">, J., Huang, L., Lu, G., </w:t>
      </w:r>
      <w:proofErr w:type="spellStart"/>
      <w:r w:rsidRPr="0062370D">
        <w:rPr>
          <w:rFonts w:ascii="Times New Roman" w:hAnsi="Times New Roman" w:cs="Times New Roman"/>
          <w:color w:val="FF0000"/>
          <w:sz w:val="22"/>
          <w:szCs w:val="22"/>
        </w:rPr>
        <w:t>Manomaiphiboon</w:t>
      </w:r>
      <w:proofErr w:type="spellEnd"/>
      <w:r w:rsidRPr="0062370D">
        <w:rPr>
          <w:rFonts w:ascii="Times New Roman" w:hAnsi="Times New Roman" w:cs="Times New Roman"/>
          <w:color w:val="FF0000"/>
          <w:sz w:val="22"/>
          <w:szCs w:val="22"/>
        </w:rPr>
        <w:t xml:space="preserve">, K., </w:t>
      </w:r>
      <w:proofErr w:type="spellStart"/>
      <w:r w:rsidRPr="0062370D">
        <w:rPr>
          <w:rFonts w:ascii="Times New Roman" w:hAnsi="Times New Roman" w:cs="Times New Roman"/>
          <w:color w:val="FF0000"/>
          <w:sz w:val="22"/>
          <w:szCs w:val="22"/>
        </w:rPr>
        <w:t>Kaynak</w:t>
      </w:r>
      <w:proofErr w:type="spellEnd"/>
      <w:r w:rsidRPr="0062370D">
        <w:rPr>
          <w:rFonts w:ascii="Times New Roman" w:hAnsi="Times New Roman" w:cs="Times New Roman"/>
          <w:color w:val="FF0000"/>
          <w:sz w:val="22"/>
          <w:szCs w:val="22"/>
        </w:rPr>
        <w:t>, B., Zhang, K., Chen, H., and Li, L.: Designing regional joint prevention and control schemes of PM2.5 based on source apportionment of chemical transport model: A case study of a heavy pollution episode, Journal of Cleaner Production, 455, 142313, https://doi.org/10.1016/j.jclepro.2024.142313, 2024.</w:t>
      </w:r>
    </w:p>
    <w:p w14:paraId="11FBAD8F" w14:textId="3116F734" w:rsidR="002E57EC" w:rsidRDefault="0062370D" w:rsidP="002E57EC">
      <w:pPr>
        <w:jc w:val="both"/>
        <w:rPr>
          <w:rFonts w:ascii="Times New Roman" w:hAnsi="Times New Roman" w:cs="Times New Roman"/>
          <w:color w:val="0000FF"/>
          <w:sz w:val="22"/>
          <w:szCs w:val="22"/>
        </w:rPr>
      </w:pPr>
      <w:r w:rsidRPr="0062370D">
        <w:rPr>
          <w:rFonts w:ascii="Times New Roman" w:hAnsi="Times New Roman" w:cs="Times New Roman"/>
          <w:sz w:val="22"/>
          <w:szCs w:val="22"/>
        </w:rPr>
        <w:t>…</w:t>
      </w:r>
      <w:r w:rsidR="002E57EC" w:rsidRPr="002E57EC">
        <w:rPr>
          <w:rFonts w:ascii="Times New Roman" w:hAnsi="Times New Roman" w:cs="Times New Roman"/>
          <w:color w:val="0000FF"/>
          <w:sz w:val="22"/>
          <w:szCs w:val="22"/>
        </w:rPr>
        <w:t>”</w:t>
      </w:r>
    </w:p>
    <w:p w14:paraId="394E1949" w14:textId="733E4CC2" w:rsidR="00034542" w:rsidRPr="00034542" w:rsidRDefault="00034542" w:rsidP="00AE2204">
      <w:pPr>
        <w:jc w:val="both"/>
        <w:rPr>
          <w:rFonts w:ascii="Times New Roman" w:hAnsi="Times New Roman" w:cs="Times New Roman"/>
          <w:color w:val="0000FF"/>
          <w:sz w:val="22"/>
          <w:szCs w:val="22"/>
        </w:rPr>
      </w:pPr>
      <w:r>
        <w:rPr>
          <w:rFonts w:ascii="Times New Roman" w:hAnsi="Times New Roman" w:cs="Times New Roman" w:hint="eastAsia"/>
          <w:color w:val="0000FF"/>
          <w:sz w:val="22"/>
          <w:szCs w:val="22"/>
        </w:rPr>
        <w:t>P</w:t>
      </w:r>
      <w:r>
        <w:rPr>
          <w:rFonts w:ascii="Times New Roman" w:hAnsi="Times New Roman" w:cs="Times New Roman"/>
          <w:color w:val="0000FF"/>
          <w:sz w:val="22"/>
          <w:szCs w:val="22"/>
        </w:rPr>
        <w:t xml:space="preserve">lease refer to line </w:t>
      </w:r>
      <w:r w:rsidR="0062370D">
        <w:rPr>
          <w:rFonts w:ascii="Times New Roman" w:hAnsi="Times New Roman" w:cs="Times New Roman"/>
          <w:color w:val="0000FF"/>
          <w:sz w:val="22"/>
          <w:szCs w:val="22"/>
        </w:rPr>
        <w:t>40-43, 367, 4</w:t>
      </w:r>
      <w:r w:rsidR="00193BA1">
        <w:rPr>
          <w:rFonts w:ascii="Times New Roman" w:hAnsi="Times New Roman" w:cs="Times New Roman"/>
          <w:color w:val="0000FF"/>
          <w:sz w:val="22"/>
          <w:szCs w:val="22"/>
        </w:rPr>
        <w:t>23</w:t>
      </w:r>
      <w:r w:rsidR="0062370D">
        <w:rPr>
          <w:rFonts w:ascii="Times New Roman" w:hAnsi="Times New Roman" w:cs="Times New Roman"/>
          <w:color w:val="0000FF"/>
          <w:sz w:val="22"/>
          <w:szCs w:val="22"/>
        </w:rPr>
        <w:t>, 4</w:t>
      </w:r>
      <w:r w:rsidR="00193BA1">
        <w:rPr>
          <w:rFonts w:ascii="Times New Roman" w:hAnsi="Times New Roman" w:cs="Times New Roman"/>
          <w:color w:val="0000FF"/>
          <w:sz w:val="22"/>
          <w:szCs w:val="22"/>
        </w:rPr>
        <w:t>62</w:t>
      </w:r>
      <w:r w:rsidR="0062370D">
        <w:rPr>
          <w:rFonts w:ascii="Times New Roman" w:hAnsi="Times New Roman" w:cs="Times New Roman"/>
          <w:color w:val="0000FF"/>
          <w:sz w:val="22"/>
          <w:szCs w:val="22"/>
        </w:rPr>
        <w:t>, and 47</w:t>
      </w:r>
      <w:r w:rsidR="00193BA1">
        <w:rPr>
          <w:rFonts w:ascii="Times New Roman" w:hAnsi="Times New Roman" w:cs="Times New Roman"/>
          <w:color w:val="0000FF"/>
          <w:sz w:val="22"/>
          <w:szCs w:val="22"/>
        </w:rPr>
        <w:t>4</w:t>
      </w:r>
      <w:r>
        <w:rPr>
          <w:rFonts w:ascii="Times New Roman" w:hAnsi="Times New Roman" w:cs="Times New Roman"/>
          <w:color w:val="0000FF"/>
          <w:sz w:val="22"/>
          <w:szCs w:val="22"/>
        </w:rPr>
        <w:t xml:space="preserve"> in main text for detail</w:t>
      </w:r>
      <w:r w:rsidR="002D4029">
        <w:rPr>
          <w:rFonts w:ascii="Times New Roman" w:hAnsi="Times New Roman" w:cs="Times New Roman" w:hint="eastAsia"/>
          <w:color w:val="0000FF"/>
          <w:sz w:val="22"/>
          <w:szCs w:val="22"/>
        </w:rPr>
        <w:t>s</w:t>
      </w:r>
      <w:r>
        <w:rPr>
          <w:rFonts w:ascii="Times New Roman" w:hAnsi="Times New Roman" w:cs="Times New Roman"/>
          <w:color w:val="0000FF"/>
          <w:sz w:val="22"/>
          <w:szCs w:val="22"/>
        </w:rPr>
        <w:t>.</w:t>
      </w:r>
    </w:p>
    <w:p w14:paraId="6E049FFF" w14:textId="7DC91A3C" w:rsidR="003D3847" w:rsidRDefault="003D3847" w:rsidP="00AE2204">
      <w:pPr>
        <w:jc w:val="both"/>
        <w:rPr>
          <w:rFonts w:ascii="Times New Roman" w:hAnsi="Times New Roman" w:cs="Times New Roman"/>
          <w:b/>
          <w:bCs/>
          <w:i/>
          <w:iCs/>
          <w:sz w:val="21"/>
          <w:szCs w:val="21"/>
        </w:rPr>
      </w:pPr>
    </w:p>
    <w:p w14:paraId="27006224" w14:textId="77777777" w:rsidR="00721FBC" w:rsidRDefault="00721FBC" w:rsidP="00AE2204">
      <w:pPr>
        <w:jc w:val="both"/>
        <w:rPr>
          <w:rFonts w:ascii="Times New Roman" w:hAnsi="Times New Roman" w:cs="Times New Roman"/>
          <w:b/>
          <w:bCs/>
          <w:i/>
          <w:iCs/>
          <w:sz w:val="21"/>
          <w:szCs w:val="21"/>
        </w:rPr>
      </w:pPr>
    </w:p>
    <w:p w14:paraId="500246EC" w14:textId="28D427B9" w:rsidR="00923AD6" w:rsidRPr="00034542" w:rsidRDefault="00923AD6" w:rsidP="00AE2204">
      <w:pPr>
        <w:jc w:val="both"/>
        <w:rPr>
          <w:rFonts w:ascii="Times New Roman" w:hAnsi="Times New Roman" w:cs="Times New Roman"/>
          <w:b/>
          <w:bCs/>
          <w:i/>
          <w:iCs/>
          <w:sz w:val="21"/>
          <w:szCs w:val="21"/>
        </w:rPr>
      </w:pPr>
      <w:r w:rsidRPr="00034542">
        <w:rPr>
          <w:rFonts w:ascii="Times New Roman" w:hAnsi="Times New Roman" w:cs="Times New Roman"/>
          <w:b/>
          <w:bCs/>
          <w:i/>
          <w:iCs/>
          <w:sz w:val="21"/>
          <w:szCs w:val="21"/>
        </w:rPr>
        <w:lastRenderedPageBreak/>
        <w:t>Reference:</w:t>
      </w:r>
    </w:p>
    <w:p w14:paraId="24B75D5D" w14:textId="7279C629" w:rsidR="00034542" w:rsidRPr="00034542" w:rsidRDefault="00034542" w:rsidP="00AE2204">
      <w:pPr>
        <w:jc w:val="both"/>
        <w:rPr>
          <w:rFonts w:ascii="Times New Roman" w:hAnsi="Times New Roman" w:cs="Times New Roman"/>
          <w:i/>
          <w:iCs/>
          <w:sz w:val="21"/>
          <w:szCs w:val="21"/>
        </w:rPr>
      </w:pPr>
      <w:r w:rsidRPr="00034542">
        <w:rPr>
          <w:rFonts w:ascii="Times New Roman" w:hAnsi="Times New Roman" w:cs="Times New Roman"/>
          <w:i/>
          <w:iCs/>
          <w:sz w:val="21"/>
          <w:szCs w:val="21"/>
        </w:rPr>
        <w:t xml:space="preserve">He, X., Zheng, X., You, Y., Zhang, S., Zhao, B., Wang, X., Huang, G., Chen, T., Cao, Y., He, L., Chang, X., Wang, S., and Wu, Y.: Comprehensive chemical characterization of gaseous I/SVOC emissions from heavy-duty diesel vehicles using two-dimensional gas chromatography time-of-flight mass spectrometry, Environ. </w:t>
      </w:r>
      <w:proofErr w:type="spellStart"/>
      <w:r w:rsidRPr="00034542">
        <w:rPr>
          <w:rFonts w:ascii="Times New Roman" w:hAnsi="Times New Roman" w:cs="Times New Roman"/>
          <w:i/>
          <w:iCs/>
          <w:sz w:val="21"/>
          <w:szCs w:val="21"/>
        </w:rPr>
        <w:t>Pollut</w:t>
      </w:r>
      <w:proofErr w:type="spellEnd"/>
      <w:r w:rsidRPr="00034542">
        <w:rPr>
          <w:rFonts w:ascii="Times New Roman" w:hAnsi="Times New Roman" w:cs="Times New Roman"/>
          <w:i/>
          <w:iCs/>
          <w:sz w:val="21"/>
          <w:szCs w:val="21"/>
        </w:rPr>
        <w:t>., 305, 119284, https://doi.org/10.1016/j.envpol.2022.119284, 2022b.</w:t>
      </w:r>
    </w:p>
    <w:p w14:paraId="44B4084F" w14:textId="48B0E6AE" w:rsidR="00034542" w:rsidRDefault="00034542" w:rsidP="00AE2204">
      <w:pPr>
        <w:jc w:val="both"/>
        <w:rPr>
          <w:rFonts w:ascii="Times New Roman" w:hAnsi="Times New Roman" w:cs="Times New Roman"/>
          <w:i/>
          <w:iCs/>
          <w:sz w:val="21"/>
          <w:szCs w:val="21"/>
        </w:rPr>
      </w:pPr>
      <w:r w:rsidRPr="00034542">
        <w:rPr>
          <w:rFonts w:ascii="Times New Roman" w:hAnsi="Times New Roman" w:cs="Times New Roman"/>
          <w:i/>
          <w:iCs/>
          <w:sz w:val="21"/>
          <w:szCs w:val="21"/>
        </w:rPr>
        <w:t>Liang, Z., Yu, Z., and Chen, L.: Quantifying the contributions of diesel fuel and lubricating oil to the SVOC emissions from a diesel engine using GC × GC-</w:t>
      </w:r>
      <w:proofErr w:type="spellStart"/>
      <w:r w:rsidRPr="00034542">
        <w:rPr>
          <w:rFonts w:ascii="Times New Roman" w:hAnsi="Times New Roman" w:cs="Times New Roman"/>
          <w:i/>
          <w:iCs/>
          <w:sz w:val="21"/>
          <w:szCs w:val="21"/>
        </w:rPr>
        <w:t>ToFMS</w:t>
      </w:r>
      <w:proofErr w:type="spellEnd"/>
      <w:r w:rsidRPr="00034542">
        <w:rPr>
          <w:rFonts w:ascii="Times New Roman" w:hAnsi="Times New Roman" w:cs="Times New Roman"/>
          <w:i/>
          <w:iCs/>
          <w:sz w:val="21"/>
          <w:szCs w:val="21"/>
        </w:rPr>
        <w:t>, Fuel, 310, 122409, https://doi.org/10.1016/j.fuel.2021.122409, 2022.</w:t>
      </w:r>
    </w:p>
    <w:p w14:paraId="458E7581" w14:textId="4988F1F7" w:rsidR="00193BA1" w:rsidRDefault="00193BA1" w:rsidP="00AE2204">
      <w:pPr>
        <w:jc w:val="both"/>
        <w:rPr>
          <w:rFonts w:ascii="Times New Roman" w:hAnsi="Times New Roman" w:cs="Times New Roman"/>
          <w:i/>
          <w:iCs/>
          <w:sz w:val="21"/>
          <w:szCs w:val="21"/>
        </w:rPr>
      </w:pPr>
      <w:r w:rsidRPr="00193BA1">
        <w:rPr>
          <w:rFonts w:ascii="Times New Roman" w:hAnsi="Times New Roman" w:cs="Times New Roman"/>
          <w:i/>
          <w:iCs/>
          <w:sz w:val="21"/>
          <w:szCs w:val="21"/>
        </w:rPr>
        <w:t>Zhang, X., He, X., Cao, Y., Chen, T., Zheng, X., Zhang, S., and Wu, Y.: Comprehensive characterization of speciated volatile organic compounds (VOCs), gas-phase and particle-phase intermediate- and semi-volatile volatility organic compounds (I/S-VOCs) from Chinese diesel trucks, Sci. Total Environ., 912, 168950, https://doi.org/10.1016/j.scitotenv.2023.168950, 2024.</w:t>
      </w:r>
    </w:p>
    <w:p w14:paraId="655C1CC6" w14:textId="053EBCF8" w:rsidR="00193BA1" w:rsidRPr="00034542" w:rsidRDefault="00193BA1" w:rsidP="00AE2204">
      <w:pPr>
        <w:jc w:val="both"/>
        <w:rPr>
          <w:rFonts w:ascii="Times New Roman" w:hAnsi="Times New Roman" w:cs="Times New Roman"/>
          <w:i/>
          <w:iCs/>
          <w:sz w:val="21"/>
          <w:szCs w:val="21"/>
        </w:rPr>
      </w:pPr>
      <w:r w:rsidRPr="00034542">
        <w:rPr>
          <w:rFonts w:ascii="Times New Roman" w:hAnsi="Times New Roman" w:cs="Times New Roman"/>
          <w:i/>
          <w:iCs/>
          <w:sz w:val="21"/>
          <w:szCs w:val="21"/>
        </w:rPr>
        <w:t>Zhao, Y., Nguyen, N. T., Presto, A. A., Hennigan, C. J., May, A. A., and Robinson, A. L.: Intermediate volatility organic compound emissions from on-road diesel vehicles: chemical composition, emission factors, and estimated secondary organic aerosol production, Environ. Sci. Technol., 49, 11516–11526, https://doi.org/10.1021/acs.est.5b02841, 2015.</w:t>
      </w:r>
    </w:p>
    <w:sectPr w:rsidR="00193BA1" w:rsidRPr="0003454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A43506" w14:textId="77777777" w:rsidR="000B6463" w:rsidRDefault="000B6463" w:rsidP="005D6211">
      <w:pPr>
        <w:spacing w:after="0" w:line="240" w:lineRule="auto"/>
      </w:pPr>
      <w:r>
        <w:separator/>
      </w:r>
    </w:p>
  </w:endnote>
  <w:endnote w:type="continuationSeparator" w:id="0">
    <w:p w14:paraId="6E00E60A" w14:textId="77777777" w:rsidR="000B6463" w:rsidRDefault="000B6463" w:rsidP="005D62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Aptos Display">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B053A" w14:textId="77777777" w:rsidR="000B6463" w:rsidRDefault="000B6463" w:rsidP="005D6211">
      <w:pPr>
        <w:spacing w:after="0" w:line="240" w:lineRule="auto"/>
      </w:pPr>
      <w:r>
        <w:separator/>
      </w:r>
    </w:p>
  </w:footnote>
  <w:footnote w:type="continuationSeparator" w:id="0">
    <w:p w14:paraId="6CB32D00" w14:textId="77777777" w:rsidR="000B6463" w:rsidRDefault="000B6463" w:rsidP="005D621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8138D"/>
    <w:multiLevelType w:val="hybridMultilevel"/>
    <w:tmpl w:val="58284EF4"/>
    <w:lvl w:ilvl="0" w:tplc="5F2EC3E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409A087E"/>
    <w:multiLevelType w:val="hybridMultilevel"/>
    <w:tmpl w:val="D706BCCC"/>
    <w:lvl w:ilvl="0" w:tplc="D0F83180">
      <w:start w:val="1"/>
      <w:numFmt w:val="bullet"/>
      <w:suff w:val="space"/>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78452FAA"/>
    <w:multiLevelType w:val="hybridMultilevel"/>
    <w:tmpl w:val="77E4E0DA"/>
    <w:lvl w:ilvl="0" w:tplc="5DB42868">
      <w:start w:val="1"/>
      <w:numFmt w:val="decimal"/>
      <w:suff w:val="spac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CS&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d9et5fwss0e5fes5eypv999ars2xeszw0d2&quot;&gt;My EndNote Library&lt;record-ids&gt;&lt;item&gt;2&lt;/item&gt;&lt;item&gt;128&lt;/item&gt;&lt;/record-ids&gt;&lt;/item&gt;&lt;/Libraries&gt;"/>
  </w:docVars>
  <w:rsids>
    <w:rsidRoot w:val="00222404"/>
    <w:rsid w:val="00002938"/>
    <w:rsid w:val="00002EFD"/>
    <w:rsid w:val="000039D7"/>
    <w:rsid w:val="000134EA"/>
    <w:rsid w:val="000144B5"/>
    <w:rsid w:val="00017754"/>
    <w:rsid w:val="000228B4"/>
    <w:rsid w:val="00026DAC"/>
    <w:rsid w:val="00033A43"/>
    <w:rsid w:val="00034542"/>
    <w:rsid w:val="000511F2"/>
    <w:rsid w:val="00051E38"/>
    <w:rsid w:val="00054F1E"/>
    <w:rsid w:val="00056ED3"/>
    <w:rsid w:val="00060692"/>
    <w:rsid w:val="000628D8"/>
    <w:rsid w:val="00063D71"/>
    <w:rsid w:val="00076BB6"/>
    <w:rsid w:val="000773FE"/>
    <w:rsid w:val="000805D7"/>
    <w:rsid w:val="000837DD"/>
    <w:rsid w:val="0009207E"/>
    <w:rsid w:val="00095829"/>
    <w:rsid w:val="00095A7E"/>
    <w:rsid w:val="00096667"/>
    <w:rsid w:val="000A6677"/>
    <w:rsid w:val="000A6C28"/>
    <w:rsid w:val="000B2F36"/>
    <w:rsid w:val="000B6463"/>
    <w:rsid w:val="000C0BC1"/>
    <w:rsid w:val="000C1B12"/>
    <w:rsid w:val="000C52FA"/>
    <w:rsid w:val="000E284A"/>
    <w:rsid w:val="000E2942"/>
    <w:rsid w:val="000E2C6F"/>
    <w:rsid w:val="000F36D5"/>
    <w:rsid w:val="000F7C1B"/>
    <w:rsid w:val="00100EEA"/>
    <w:rsid w:val="00111D33"/>
    <w:rsid w:val="0011666D"/>
    <w:rsid w:val="0012108E"/>
    <w:rsid w:val="00123DB1"/>
    <w:rsid w:val="001248C0"/>
    <w:rsid w:val="00127B9D"/>
    <w:rsid w:val="00127D58"/>
    <w:rsid w:val="00132D7A"/>
    <w:rsid w:val="00151D1F"/>
    <w:rsid w:val="00160026"/>
    <w:rsid w:val="0016502A"/>
    <w:rsid w:val="001677CD"/>
    <w:rsid w:val="00170C3F"/>
    <w:rsid w:val="00185D1C"/>
    <w:rsid w:val="00193BA1"/>
    <w:rsid w:val="001A4985"/>
    <w:rsid w:val="001A6A6F"/>
    <w:rsid w:val="001B2DA7"/>
    <w:rsid w:val="001B7754"/>
    <w:rsid w:val="001C30D0"/>
    <w:rsid w:val="001C53CD"/>
    <w:rsid w:val="001D18F1"/>
    <w:rsid w:val="001D1EDF"/>
    <w:rsid w:val="001D26CC"/>
    <w:rsid w:val="001E2374"/>
    <w:rsid w:val="001E70C0"/>
    <w:rsid w:val="001F26D3"/>
    <w:rsid w:val="001F65C7"/>
    <w:rsid w:val="00200B5B"/>
    <w:rsid w:val="0021209B"/>
    <w:rsid w:val="00222404"/>
    <w:rsid w:val="002311B1"/>
    <w:rsid w:val="002340FC"/>
    <w:rsid w:val="0023586E"/>
    <w:rsid w:val="0024342F"/>
    <w:rsid w:val="00245005"/>
    <w:rsid w:val="002475B0"/>
    <w:rsid w:val="002628E8"/>
    <w:rsid w:val="00275466"/>
    <w:rsid w:val="00295310"/>
    <w:rsid w:val="002A2270"/>
    <w:rsid w:val="002A3A00"/>
    <w:rsid w:val="002A6D2B"/>
    <w:rsid w:val="002A756C"/>
    <w:rsid w:val="002D4029"/>
    <w:rsid w:val="002D5B5F"/>
    <w:rsid w:val="002E0E91"/>
    <w:rsid w:val="002E57EC"/>
    <w:rsid w:val="002F2990"/>
    <w:rsid w:val="003000F4"/>
    <w:rsid w:val="003011F7"/>
    <w:rsid w:val="00316738"/>
    <w:rsid w:val="00320CB1"/>
    <w:rsid w:val="00320E99"/>
    <w:rsid w:val="00323BF5"/>
    <w:rsid w:val="00335F69"/>
    <w:rsid w:val="003379AB"/>
    <w:rsid w:val="00345408"/>
    <w:rsid w:val="00350D40"/>
    <w:rsid w:val="00351217"/>
    <w:rsid w:val="00352471"/>
    <w:rsid w:val="00365FC2"/>
    <w:rsid w:val="0036603F"/>
    <w:rsid w:val="00374FF6"/>
    <w:rsid w:val="003812FD"/>
    <w:rsid w:val="00383DCE"/>
    <w:rsid w:val="00391158"/>
    <w:rsid w:val="003A026D"/>
    <w:rsid w:val="003B488F"/>
    <w:rsid w:val="003C4AC9"/>
    <w:rsid w:val="003C597D"/>
    <w:rsid w:val="003D2554"/>
    <w:rsid w:val="003D3847"/>
    <w:rsid w:val="003E1D82"/>
    <w:rsid w:val="003E3056"/>
    <w:rsid w:val="003E5947"/>
    <w:rsid w:val="003E674C"/>
    <w:rsid w:val="003F09D2"/>
    <w:rsid w:val="003F2741"/>
    <w:rsid w:val="0041123B"/>
    <w:rsid w:val="004155AF"/>
    <w:rsid w:val="00415C15"/>
    <w:rsid w:val="00416276"/>
    <w:rsid w:val="00422930"/>
    <w:rsid w:val="00425BC8"/>
    <w:rsid w:val="004355FF"/>
    <w:rsid w:val="004358F9"/>
    <w:rsid w:val="00456663"/>
    <w:rsid w:val="00463D95"/>
    <w:rsid w:val="004701BF"/>
    <w:rsid w:val="00475A38"/>
    <w:rsid w:val="00477E49"/>
    <w:rsid w:val="00485975"/>
    <w:rsid w:val="0049102E"/>
    <w:rsid w:val="004957FA"/>
    <w:rsid w:val="0049710D"/>
    <w:rsid w:val="004A337A"/>
    <w:rsid w:val="004A6185"/>
    <w:rsid w:val="004A6534"/>
    <w:rsid w:val="004B2A4F"/>
    <w:rsid w:val="004B7904"/>
    <w:rsid w:val="004C09FA"/>
    <w:rsid w:val="004D2481"/>
    <w:rsid w:val="004D2F3D"/>
    <w:rsid w:val="004E2245"/>
    <w:rsid w:val="004F7551"/>
    <w:rsid w:val="00501457"/>
    <w:rsid w:val="005240B0"/>
    <w:rsid w:val="00525071"/>
    <w:rsid w:val="005312E4"/>
    <w:rsid w:val="00532499"/>
    <w:rsid w:val="00536C63"/>
    <w:rsid w:val="00547978"/>
    <w:rsid w:val="0055063D"/>
    <w:rsid w:val="00557650"/>
    <w:rsid w:val="00560B33"/>
    <w:rsid w:val="00562E6C"/>
    <w:rsid w:val="00565979"/>
    <w:rsid w:val="005735E1"/>
    <w:rsid w:val="00574D98"/>
    <w:rsid w:val="005802A3"/>
    <w:rsid w:val="0058356F"/>
    <w:rsid w:val="0059620D"/>
    <w:rsid w:val="00597D12"/>
    <w:rsid w:val="005A1740"/>
    <w:rsid w:val="005A1AEB"/>
    <w:rsid w:val="005A388E"/>
    <w:rsid w:val="005B0453"/>
    <w:rsid w:val="005B08D6"/>
    <w:rsid w:val="005B1A3C"/>
    <w:rsid w:val="005B2EA4"/>
    <w:rsid w:val="005B3C46"/>
    <w:rsid w:val="005B50A4"/>
    <w:rsid w:val="005D0EA6"/>
    <w:rsid w:val="005D24ED"/>
    <w:rsid w:val="005D460E"/>
    <w:rsid w:val="005D5F89"/>
    <w:rsid w:val="005D6211"/>
    <w:rsid w:val="005E3C49"/>
    <w:rsid w:val="005E79CF"/>
    <w:rsid w:val="005F0806"/>
    <w:rsid w:val="005F3580"/>
    <w:rsid w:val="0061051C"/>
    <w:rsid w:val="00622C0B"/>
    <w:rsid w:val="0062370D"/>
    <w:rsid w:val="00632F4E"/>
    <w:rsid w:val="00634DC5"/>
    <w:rsid w:val="00637F31"/>
    <w:rsid w:val="006417B5"/>
    <w:rsid w:val="00645C5C"/>
    <w:rsid w:val="0065601A"/>
    <w:rsid w:val="00657E5F"/>
    <w:rsid w:val="00660AB2"/>
    <w:rsid w:val="006632C7"/>
    <w:rsid w:val="006635F5"/>
    <w:rsid w:val="0066404D"/>
    <w:rsid w:val="006800BD"/>
    <w:rsid w:val="00685AE2"/>
    <w:rsid w:val="0068698E"/>
    <w:rsid w:val="00686C1F"/>
    <w:rsid w:val="00687065"/>
    <w:rsid w:val="00687898"/>
    <w:rsid w:val="006A21D6"/>
    <w:rsid w:val="006A36DB"/>
    <w:rsid w:val="006A62B0"/>
    <w:rsid w:val="006B3883"/>
    <w:rsid w:val="006E282B"/>
    <w:rsid w:val="006F4AC7"/>
    <w:rsid w:val="00700E61"/>
    <w:rsid w:val="0070109D"/>
    <w:rsid w:val="00702858"/>
    <w:rsid w:val="00702C2E"/>
    <w:rsid w:val="00710C8B"/>
    <w:rsid w:val="00711B6A"/>
    <w:rsid w:val="00721FBC"/>
    <w:rsid w:val="0072219B"/>
    <w:rsid w:val="00731F02"/>
    <w:rsid w:val="00732546"/>
    <w:rsid w:val="007335C5"/>
    <w:rsid w:val="0073670B"/>
    <w:rsid w:val="00737096"/>
    <w:rsid w:val="0074041B"/>
    <w:rsid w:val="0074363B"/>
    <w:rsid w:val="00744972"/>
    <w:rsid w:val="007456C5"/>
    <w:rsid w:val="0074638B"/>
    <w:rsid w:val="007606C4"/>
    <w:rsid w:val="00764EA8"/>
    <w:rsid w:val="007757B9"/>
    <w:rsid w:val="00786B2E"/>
    <w:rsid w:val="00792E7D"/>
    <w:rsid w:val="00794D14"/>
    <w:rsid w:val="00794F10"/>
    <w:rsid w:val="007A3BAB"/>
    <w:rsid w:val="007A4E7A"/>
    <w:rsid w:val="007A5858"/>
    <w:rsid w:val="007B1B58"/>
    <w:rsid w:val="007C103B"/>
    <w:rsid w:val="007D4722"/>
    <w:rsid w:val="007D6C6F"/>
    <w:rsid w:val="007D7475"/>
    <w:rsid w:val="007E03EE"/>
    <w:rsid w:val="007E5D5E"/>
    <w:rsid w:val="007E7487"/>
    <w:rsid w:val="007F0485"/>
    <w:rsid w:val="007F2938"/>
    <w:rsid w:val="007F2C02"/>
    <w:rsid w:val="00800854"/>
    <w:rsid w:val="00811C58"/>
    <w:rsid w:val="0081326F"/>
    <w:rsid w:val="008138B4"/>
    <w:rsid w:val="0082132C"/>
    <w:rsid w:val="008234C0"/>
    <w:rsid w:val="00830782"/>
    <w:rsid w:val="008409CE"/>
    <w:rsid w:val="00846BFE"/>
    <w:rsid w:val="00847F4D"/>
    <w:rsid w:val="00850495"/>
    <w:rsid w:val="00854615"/>
    <w:rsid w:val="00863067"/>
    <w:rsid w:val="0086375A"/>
    <w:rsid w:val="00863CEC"/>
    <w:rsid w:val="0086667B"/>
    <w:rsid w:val="00891500"/>
    <w:rsid w:val="00897269"/>
    <w:rsid w:val="008A655F"/>
    <w:rsid w:val="008B273E"/>
    <w:rsid w:val="008C2973"/>
    <w:rsid w:val="008C4C77"/>
    <w:rsid w:val="008C4D77"/>
    <w:rsid w:val="008C7C93"/>
    <w:rsid w:val="008D0267"/>
    <w:rsid w:val="008D25F9"/>
    <w:rsid w:val="008D7CDC"/>
    <w:rsid w:val="008E03D8"/>
    <w:rsid w:val="008E493D"/>
    <w:rsid w:val="008E797C"/>
    <w:rsid w:val="008F4324"/>
    <w:rsid w:val="008F44FB"/>
    <w:rsid w:val="008F53D7"/>
    <w:rsid w:val="008F6A41"/>
    <w:rsid w:val="00900A06"/>
    <w:rsid w:val="009056E0"/>
    <w:rsid w:val="00907BA8"/>
    <w:rsid w:val="00920B3B"/>
    <w:rsid w:val="00923AD6"/>
    <w:rsid w:val="00924B2E"/>
    <w:rsid w:val="0092534C"/>
    <w:rsid w:val="0092537B"/>
    <w:rsid w:val="00936403"/>
    <w:rsid w:val="00940E49"/>
    <w:rsid w:val="00944A45"/>
    <w:rsid w:val="00944C45"/>
    <w:rsid w:val="0094637A"/>
    <w:rsid w:val="00951AD4"/>
    <w:rsid w:val="00955A0A"/>
    <w:rsid w:val="00956921"/>
    <w:rsid w:val="00967297"/>
    <w:rsid w:val="00971B7D"/>
    <w:rsid w:val="00973DD3"/>
    <w:rsid w:val="00973DE5"/>
    <w:rsid w:val="00974C49"/>
    <w:rsid w:val="00977ADB"/>
    <w:rsid w:val="00983617"/>
    <w:rsid w:val="009A096C"/>
    <w:rsid w:val="009A32C0"/>
    <w:rsid w:val="009A46F2"/>
    <w:rsid w:val="009A4A60"/>
    <w:rsid w:val="009B1F13"/>
    <w:rsid w:val="009B41E7"/>
    <w:rsid w:val="009B45FA"/>
    <w:rsid w:val="009C5E05"/>
    <w:rsid w:val="009C6B93"/>
    <w:rsid w:val="009C6C7C"/>
    <w:rsid w:val="009E041C"/>
    <w:rsid w:val="009E1041"/>
    <w:rsid w:val="009E22C5"/>
    <w:rsid w:val="009E5EA7"/>
    <w:rsid w:val="00A00652"/>
    <w:rsid w:val="00A06ED7"/>
    <w:rsid w:val="00A12BFB"/>
    <w:rsid w:val="00A15FF1"/>
    <w:rsid w:val="00A16EA9"/>
    <w:rsid w:val="00A2174F"/>
    <w:rsid w:val="00A31E67"/>
    <w:rsid w:val="00A4174F"/>
    <w:rsid w:val="00A431D5"/>
    <w:rsid w:val="00A46657"/>
    <w:rsid w:val="00A524FF"/>
    <w:rsid w:val="00A618CA"/>
    <w:rsid w:val="00A65E3B"/>
    <w:rsid w:val="00A819E5"/>
    <w:rsid w:val="00A834D5"/>
    <w:rsid w:val="00A83DE2"/>
    <w:rsid w:val="00A850F2"/>
    <w:rsid w:val="00A85376"/>
    <w:rsid w:val="00A85A06"/>
    <w:rsid w:val="00A94FE8"/>
    <w:rsid w:val="00AA1ADC"/>
    <w:rsid w:val="00AA4333"/>
    <w:rsid w:val="00AA493C"/>
    <w:rsid w:val="00AA7C53"/>
    <w:rsid w:val="00AB2462"/>
    <w:rsid w:val="00AD0577"/>
    <w:rsid w:val="00AD0B1B"/>
    <w:rsid w:val="00AD3067"/>
    <w:rsid w:val="00AE2204"/>
    <w:rsid w:val="00AE3264"/>
    <w:rsid w:val="00AE4AF8"/>
    <w:rsid w:val="00AF7D2F"/>
    <w:rsid w:val="00B039C0"/>
    <w:rsid w:val="00B0631A"/>
    <w:rsid w:val="00B11620"/>
    <w:rsid w:val="00B11A52"/>
    <w:rsid w:val="00B13064"/>
    <w:rsid w:val="00B227E9"/>
    <w:rsid w:val="00B30A59"/>
    <w:rsid w:val="00B310B4"/>
    <w:rsid w:val="00B52747"/>
    <w:rsid w:val="00B54417"/>
    <w:rsid w:val="00B6000B"/>
    <w:rsid w:val="00B709B2"/>
    <w:rsid w:val="00B720E4"/>
    <w:rsid w:val="00B7335D"/>
    <w:rsid w:val="00B742D9"/>
    <w:rsid w:val="00B811B6"/>
    <w:rsid w:val="00B8415B"/>
    <w:rsid w:val="00BA208D"/>
    <w:rsid w:val="00BA734E"/>
    <w:rsid w:val="00BB1463"/>
    <w:rsid w:val="00BB5619"/>
    <w:rsid w:val="00BB63E9"/>
    <w:rsid w:val="00BC1071"/>
    <w:rsid w:val="00BC163C"/>
    <w:rsid w:val="00BC2AF1"/>
    <w:rsid w:val="00BC4672"/>
    <w:rsid w:val="00BC554F"/>
    <w:rsid w:val="00BC592A"/>
    <w:rsid w:val="00BD6221"/>
    <w:rsid w:val="00BE0EBE"/>
    <w:rsid w:val="00BE735C"/>
    <w:rsid w:val="00BF66A7"/>
    <w:rsid w:val="00C07658"/>
    <w:rsid w:val="00C11373"/>
    <w:rsid w:val="00C266DF"/>
    <w:rsid w:val="00C345FF"/>
    <w:rsid w:val="00C3700F"/>
    <w:rsid w:val="00C47B62"/>
    <w:rsid w:val="00C51C2F"/>
    <w:rsid w:val="00C547A6"/>
    <w:rsid w:val="00C62C19"/>
    <w:rsid w:val="00C75010"/>
    <w:rsid w:val="00C77FE3"/>
    <w:rsid w:val="00C816AA"/>
    <w:rsid w:val="00C84F22"/>
    <w:rsid w:val="00C918A1"/>
    <w:rsid w:val="00C9299C"/>
    <w:rsid w:val="00C94084"/>
    <w:rsid w:val="00C9515C"/>
    <w:rsid w:val="00CA564C"/>
    <w:rsid w:val="00CA637B"/>
    <w:rsid w:val="00CA6AF2"/>
    <w:rsid w:val="00CC23D7"/>
    <w:rsid w:val="00CC3C74"/>
    <w:rsid w:val="00CC7820"/>
    <w:rsid w:val="00CD2117"/>
    <w:rsid w:val="00CD4BEF"/>
    <w:rsid w:val="00CE0C84"/>
    <w:rsid w:val="00CE24D2"/>
    <w:rsid w:val="00CF70BC"/>
    <w:rsid w:val="00D03752"/>
    <w:rsid w:val="00D10063"/>
    <w:rsid w:val="00D17723"/>
    <w:rsid w:val="00D22D15"/>
    <w:rsid w:val="00D23BE1"/>
    <w:rsid w:val="00D312EA"/>
    <w:rsid w:val="00D3784E"/>
    <w:rsid w:val="00D4089D"/>
    <w:rsid w:val="00D430EB"/>
    <w:rsid w:val="00D509B0"/>
    <w:rsid w:val="00D5200A"/>
    <w:rsid w:val="00D52F77"/>
    <w:rsid w:val="00D5575E"/>
    <w:rsid w:val="00D57463"/>
    <w:rsid w:val="00D57F1C"/>
    <w:rsid w:val="00D62090"/>
    <w:rsid w:val="00D8086B"/>
    <w:rsid w:val="00D80D8D"/>
    <w:rsid w:val="00D86A6D"/>
    <w:rsid w:val="00D9096C"/>
    <w:rsid w:val="00D92C7B"/>
    <w:rsid w:val="00D92F0E"/>
    <w:rsid w:val="00D942D2"/>
    <w:rsid w:val="00D96442"/>
    <w:rsid w:val="00DA6E6A"/>
    <w:rsid w:val="00DA73CB"/>
    <w:rsid w:val="00DB3BD1"/>
    <w:rsid w:val="00DC202B"/>
    <w:rsid w:val="00DC6C01"/>
    <w:rsid w:val="00DC748D"/>
    <w:rsid w:val="00DD178F"/>
    <w:rsid w:val="00DD3A3F"/>
    <w:rsid w:val="00DD6330"/>
    <w:rsid w:val="00DE1ABA"/>
    <w:rsid w:val="00E117F2"/>
    <w:rsid w:val="00E15060"/>
    <w:rsid w:val="00E32121"/>
    <w:rsid w:val="00E40599"/>
    <w:rsid w:val="00E45E66"/>
    <w:rsid w:val="00E54647"/>
    <w:rsid w:val="00E56903"/>
    <w:rsid w:val="00E610BB"/>
    <w:rsid w:val="00E8140A"/>
    <w:rsid w:val="00E93D2E"/>
    <w:rsid w:val="00E958E0"/>
    <w:rsid w:val="00E95D66"/>
    <w:rsid w:val="00E970D2"/>
    <w:rsid w:val="00EA3FC4"/>
    <w:rsid w:val="00EE13DB"/>
    <w:rsid w:val="00EE33D3"/>
    <w:rsid w:val="00EE753F"/>
    <w:rsid w:val="00EF617D"/>
    <w:rsid w:val="00EF6C92"/>
    <w:rsid w:val="00F078D6"/>
    <w:rsid w:val="00F1239E"/>
    <w:rsid w:val="00F13B75"/>
    <w:rsid w:val="00F152B2"/>
    <w:rsid w:val="00F25055"/>
    <w:rsid w:val="00F25BB0"/>
    <w:rsid w:val="00F3626C"/>
    <w:rsid w:val="00F40678"/>
    <w:rsid w:val="00F44074"/>
    <w:rsid w:val="00F46CD3"/>
    <w:rsid w:val="00F56BFC"/>
    <w:rsid w:val="00F60513"/>
    <w:rsid w:val="00F638EC"/>
    <w:rsid w:val="00F70612"/>
    <w:rsid w:val="00F72A02"/>
    <w:rsid w:val="00F72B0A"/>
    <w:rsid w:val="00F835F0"/>
    <w:rsid w:val="00F84A4B"/>
    <w:rsid w:val="00F866EA"/>
    <w:rsid w:val="00F96103"/>
    <w:rsid w:val="00F96610"/>
    <w:rsid w:val="00F96924"/>
    <w:rsid w:val="00F96E5E"/>
    <w:rsid w:val="00FB1BCE"/>
    <w:rsid w:val="00FB2A65"/>
    <w:rsid w:val="00FC31EF"/>
    <w:rsid w:val="00FC3B17"/>
    <w:rsid w:val="00FC61F6"/>
    <w:rsid w:val="00FC6449"/>
    <w:rsid w:val="00FD6D2F"/>
    <w:rsid w:val="00FE0D0B"/>
    <w:rsid w:val="00FE1EE3"/>
    <w:rsid w:val="00FF3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C5A975B"/>
  <w14:defaultImageDpi w14:val="32767"/>
  <w15:chartTrackingRefBased/>
  <w15:docId w15:val="{19DD880A-BE97-4AC7-9FB5-80AB10C21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E2204"/>
  </w:style>
  <w:style w:type="paragraph" w:styleId="1">
    <w:name w:val="heading 1"/>
    <w:basedOn w:val="a"/>
    <w:next w:val="a"/>
    <w:link w:val="10"/>
    <w:uiPriority w:val="9"/>
    <w:qFormat/>
    <w:rsid w:val="0022240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22240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222404"/>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222404"/>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222404"/>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222404"/>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222404"/>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222404"/>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222404"/>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22404"/>
    <w:rPr>
      <w:rFonts w:asciiTheme="majorHAnsi" w:eastAsiaTheme="majorEastAsia" w:hAnsiTheme="majorHAnsi" w:cstheme="majorBidi"/>
      <w:color w:val="0F4761" w:themeColor="accent1" w:themeShade="BF"/>
      <w:sz w:val="40"/>
      <w:szCs w:val="40"/>
    </w:rPr>
  </w:style>
  <w:style w:type="character" w:customStyle="1" w:styleId="20">
    <w:name w:val="标题 2 字符"/>
    <w:basedOn w:val="a0"/>
    <w:link w:val="2"/>
    <w:uiPriority w:val="9"/>
    <w:semiHidden/>
    <w:rsid w:val="00222404"/>
    <w:rPr>
      <w:rFonts w:asciiTheme="majorHAnsi" w:eastAsiaTheme="majorEastAsia" w:hAnsiTheme="majorHAnsi" w:cstheme="majorBidi"/>
      <w:color w:val="0F4761" w:themeColor="accent1" w:themeShade="BF"/>
      <w:sz w:val="32"/>
      <w:szCs w:val="32"/>
    </w:rPr>
  </w:style>
  <w:style w:type="character" w:customStyle="1" w:styleId="30">
    <w:name w:val="标题 3 字符"/>
    <w:basedOn w:val="a0"/>
    <w:link w:val="3"/>
    <w:uiPriority w:val="9"/>
    <w:semiHidden/>
    <w:rsid w:val="00222404"/>
    <w:rPr>
      <w:rFonts w:eastAsiaTheme="majorEastAsia" w:cstheme="majorBidi"/>
      <w:color w:val="0F4761" w:themeColor="accent1" w:themeShade="BF"/>
      <w:sz w:val="28"/>
      <w:szCs w:val="28"/>
    </w:rPr>
  </w:style>
  <w:style w:type="character" w:customStyle="1" w:styleId="40">
    <w:name w:val="标题 4 字符"/>
    <w:basedOn w:val="a0"/>
    <w:link w:val="4"/>
    <w:uiPriority w:val="9"/>
    <w:semiHidden/>
    <w:rsid w:val="00222404"/>
    <w:rPr>
      <w:rFonts w:eastAsiaTheme="majorEastAsia" w:cstheme="majorBidi"/>
      <w:i/>
      <w:iCs/>
      <w:color w:val="0F4761" w:themeColor="accent1" w:themeShade="BF"/>
    </w:rPr>
  </w:style>
  <w:style w:type="character" w:customStyle="1" w:styleId="50">
    <w:name w:val="标题 5 字符"/>
    <w:basedOn w:val="a0"/>
    <w:link w:val="5"/>
    <w:uiPriority w:val="9"/>
    <w:semiHidden/>
    <w:rsid w:val="00222404"/>
    <w:rPr>
      <w:rFonts w:eastAsiaTheme="majorEastAsia" w:cstheme="majorBidi"/>
      <w:color w:val="0F4761" w:themeColor="accent1" w:themeShade="BF"/>
    </w:rPr>
  </w:style>
  <w:style w:type="character" w:customStyle="1" w:styleId="60">
    <w:name w:val="标题 6 字符"/>
    <w:basedOn w:val="a0"/>
    <w:link w:val="6"/>
    <w:uiPriority w:val="9"/>
    <w:semiHidden/>
    <w:rsid w:val="00222404"/>
    <w:rPr>
      <w:rFonts w:eastAsiaTheme="majorEastAsia" w:cstheme="majorBidi"/>
      <w:i/>
      <w:iCs/>
      <w:color w:val="595959" w:themeColor="text1" w:themeTint="A6"/>
    </w:rPr>
  </w:style>
  <w:style w:type="character" w:customStyle="1" w:styleId="70">
    <w:name w:val="标题 7 字符"/>
    <w:basedOn w:val="a0"/>
    <w:link w:val="7"/>
    <w:uiPriority w:val="9"/>
    <w:semiHidden/>
    <w:rsid w:val="00222404"/>
    <w:rPr>
      <w:rFonts w:eastAsiaTheme="majorEastAsia" w:cstheme="majorBidi"/>
      <w:color w:val="595959" w:themeColor="text1" w:themeTint="A6"/>
    </w:rPr>
  </w:style>
  <w:style w:type="character" w:customStyle="1" w:styleId="80">
    <w:name w:val="标题 8 字符"/>
    <w:basedOn w:val="a0"/>
    <w:link w:val="8"/>
    <w:uiPriority w:val="9"/>
    <w:semiHidden/>
    <w:rsid w:val="00222404"/>
    <w:rPr>
      <w:rFonts w:eastAsiaTheme="majorEastAsia" w:cstheme="majorBidi"/>
      <w:i/>
      <w:iCs/>
      <w:color w:val="272727" w:themeColor="text1" w:themeTint="D8"/>
    </w:rPr>
  </w:style>
  <w:style w:type="character" w:customStyle="1" w:styleId="90">
    <w:name w:val="标题 9 字符"/>
    <w:basedOn w:val="a0"/>
    <w:link w:val="9"/>
    <w:uiPriority w:val="9"/>
    <w:semiHidden/>
    <w:rsid w:val="00222404"/>
    <w:rPr>
      <w:rFonts w:eastAsiaTheme="majorEastAsia" w:cstheme="majorBidi"/>
      <w:color w:val="272727" w:themeColor="text1" w:themeTint="D8"/>
    </w:rPr>
  </w:style>
  <w:style w:type="paragraph" w:styleId="a3">
    <w:name w:val="Title"/>
    <w:basedOn w:val="a"/>
    <w:next w:val="a"/>
    <w:link w:val="a4"/>
    <w:uiPriority w:val="10"/>
    <w:qFormat/>
    <w:rsid w:val="0022240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22240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22404"/>
    <w:pPr>
      <w:numPr>
        <w:ilvl w:val="1"/>
      </w:numPr>
    </w:pPr>
    <w:rPr>
      <w:rFonts w:eastAsiaTheme="majorEastAsia" w:cstheme="majorBidi"/>
      <w:color w:val="595959" w:themeColor="text1" w:themeTint="A6"/>
      <w:spacing w:val="15"/>
      <w:sz w:val="28"/>
      <w:szCs w:val="28"/>
    </w:rPr>
  </w:style>
  <w:style w:type="character" w:customStyle="1" w:styleId="a6">
    <w:name w:val="副标题 字符"/>
    <w:basedOn w:val="a0"/>
    <w:link w:val="a5"/>
    <w:uiPriority w:val="11"/>
    <w:rsid w:val="00222404"/>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222404"/>
    <w:pPr>
      <w:spacing w:before="160"/>
      <w:jc w:val="center"/>
    </w:pPr>
    <w:rPr>
      <w:i/>
      <w:iCs/>
      <w:color w:val="404040" w:themeColor="text1" w:themeTint="BF"/>
    </w:rPr>
  </w:style>
  <w:style w:type="character" w:customStyle="1" w:styleId="a8">
    <w:name w:val="引用 字符"/>
    <w:basedOn w:val="a0"/>
    <w:link w:val="a7"/>
    <w:uiPriority w:val="29"/>
    <w:rsid w:val="00222404"/>
    <w:rPr>
      <w:i/>
      <w:iCs/>
      <w:color w:val="404040" w:themeColor="text1" w:themeTint="BF"/>
    </w:rPr>
  </w:style>
  <w:style w:type="paragraph" w:styleId="a9">
    <w:name w:val="List Paragraph"/>
    <w:basedOn w:val="a"/>
    <w:uiPriority w:val="34"/>
    <w:qFormat/>
    <w:rsid w:val="00222404"/>
    <w:pPr>
      <w:ind w:left="720"/>
      <w:contextualSpacing/>
    </w:pPr>
  </w:style>
  <w:style w:type="character" w:styleId="aa">
    <w:name w:val="Intense Emphasis"/>
    <w:basedOn w:val="a0"/>
    <w:uiPriority w:val="21"/>
    <w:qFormat/>
    <w:rsid w:val="00222404"/>
    <w:rPr>
      <w:i/>
      <w:iCs/>
      <w:color w:val="0F4761" w:themeColor="accent1" w:themeShade="BF"/>
    </w:rPr>
  </w:style>
  <w:style w:type="paragraph" w:styleId="ab">
    <w:name w:val="Intense Quote"/>
    <w:basedOn w:val="a"/>
    <w:next w:val="a"/>
    <w:link w:val="ac"/>
    <w:uiPriority w:val="30"/>
    <w:qFormat/>
    <w:rsid w:val="0022240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222404"/>
    <w:rPr>
      <w:i/>
      <w:iCs/>
      <w:color w:val="0F4761" w:themeColor="accent1" w:themeShade="BF"/>
    </w:rPr>
  </w:style>
  <w:style w:type="character" w:styleId="ad">
    <w:name w:val="Intense Reference"/>
    <w:basedOn w:val="a0"/>
    <w:uiPriority w:val="32"/>
    <w:qFormat/>
    <w:rsid w:val="00222404"/>
    <w:rPr>
      <w:b/>
      <w:bCs/>
      <w:smallCaps/>
      <w:color w:val="0F4761" w:themeColor="accent1" w:themeShade="BF"/>
      <w:spacing w:val="5"/>
    </w:rPr>
  </w:style>
  <w:style w:type="table" w:styleId="ae">
    <w:name w:val="Table Grid"/>
    <w:basedOn w:val="a1"/>
    <w:uiPriority w:val="39"/>
    <w:rsid w:val="00C266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Grid Table Light"/>
    <w:basedOn w:val="a1"/>
    <w:uiPriority w:val="40"/>
    <w:rsid w:val="00FB2A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41">
    <w:name w:val="Plain Table 4"/>
    <w:basedOn w:val="a1"/>
    <w:uiPriority w:val="44"/>
    <w:rsid w:val="00FB2A65"/>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ndNoteBibliographyTitle">
    <w:name w:val="EndNote Bibliography Title"/>
    <w:basedOn w:val="a"/>
    <w:link w:val="EndNoteBibliographyTitle0"/>
    <w:rsid w:val="003812FD"/>
    <w:pPr>
      <w:spacing w:after="0"/>
      <w:jc w:val="center"/>
    </w:pPr>
    <w:rPr>
      <w:rFonts w:ascii="Aptos" w:hAnsi="Aptos"/>
      <w:noProof/>
    </w:rPr>
  </w:style>
  <w:style w:type="character" w:customStyle="1" w:styleId="EndNoteBibliographyTitle0">
    <w:name w:val="EndNote Bibliography Title 字符"/>
    <w:basedOn w:val="a0"/>
    <w:link w:val="EndNoteBibliographyTitle"/>
    <w:rsid w:val="003812FD"/>
    <w:rPr>
      <w:rFonts w:ascii="Aptos" w:hAnsi="Aptos"/>
      <w:noProof/>
    </w:rPr>
  </w:style>
  <w:style w:type="paragraph" w:customStyle="1" w:styleId="EndNoteBibliography">
    <w:name w:val="EndNote Bibliography"/>
    <w:basedOn w:val="a"/>
    <w:link w:val="EndNoteBibliography0"/>
    <w:rsid w:val="003812FD"/>
    <w:pPr>
      <w:spacing w:line="240" w:lineRule="auto"/>
    </w:pPr>
    <w:rPr>
      <w:rFonts w:ascii="Aptos" w:hAnsi="Aptos"/>
      <w:noProof/>
    </w:rPr>
  </w:style>
  <w:style w:type="character" w:customStyle="1" w:styleId="EndNoteBibliography0">
    <w:name w:val="EndNote Bibliography 字符"/>
    <w:basedOn w:val="a0"/>
    <w:link w:val="EndNoteBibliography"/>
    <w:rsid w:val="003812FD"/>
    <w:rPr>
      <w:rFonts w:ascii="Aptos" w:hAnsi="Aptos"/>
      <w:noProof/>
    </w:rPr>
  </w:style>
  <w:style w:type="character" w:styleId="af0">
    <w:name w:val="Hyperlink"/>
    <w:basedOn w:val="a0"/>
    <w:uiPriority w:val="99"/>
    <w:unhideWhenUsed/>
    <w:rsid w:val="003812FD"/>
    <w:rPr>
      <w:color w:val="467886" w:themeColor="hyperlink"/>
      <w:u w:val="single"/>
    </w:rPr>
  </w:style>
  <w:style w:type="character" w:styleId="af1">
    <w:name w:val="Unresolved Mention"/>
    <w:basedOn w:val="a0"/>
    <w:uiPriority w:val="99"/>
    <w:semiHidden/>
    <w:unhideWhenUsed/>
    <w:rsid w:val="003812FD"/>
    <w:rPr>
      <w:color w:val="605E5C"/>
      <w:shd w:val="clear" w:color="auto" w:fill="E1DFDD"/>
    </w:rPr>
  </w:style>
  <w:style w:type="paragraph" w:styleId="af2">
    <w:name w:val="header"/>
    <w:basedOn w:val="a"/>
    <w:link w:val="af3"/>
    <w:uiPriority w:val="99"/>
    <w:unhideWhenUsed/>
    <w:rsid w:val="005D6211"/>
    <w:pPr>
      <w:tabs>
        <w:tab w:val="center" w:pos="4153"/>
        <w:tab w:val="right" w:pos="8306"/>
      </w:tabs>
      <w:snapToGrid w:val="0"/>
      <w:spacing w:line="240" w:lineRule="auto"/>
      <w:jc w:val="center"/>
    </w:pPr>
    <w:rPr>
      <w:sz w:val="18"/>
      <w:szCs w:val="18"/>
    </w:rPr>
  </w:style>
  <w:style w:type="character" w:customStyle="1" w:styleId="af3">
    <w:name w:val="页眉 字符"/>
    <w:basedOn w:val="a0"/>
    <w:link w:val="af2"/>
    <w:uiPriority w:val="99"/>
    <w:rsid w:val="005D6211"/>
    <w:rPr>
      <w:sz w:val="18"/>
      <w:szCs w:val="18"/>
    </w:rPr>
  </w:style>
  <w:style w:type="paragraph" w:styleId="af4">
    <w:name w:val="footer"/>
    <w:basedOn w:val="a"/>
    <w:link w:val="af5"/>
    <w:uiPriority w:val="99"/>
    <w:unhideWhenUsed/>
    <w:rsid w:val="005D6211"/>
    <w:pPr>
      <w:tabs>
        <w:tab w:val="center" w:pos="4153"/>
        <w:tab w:val="right" w:pos="8306"/>
      </w:tabs>
      <w:snapToGrid w:val="0"/>
      <w:spacing w:line="240" w:lineRule="auto"/>
    </w:pPr>
    <w:rPr>
      <w:sz w:val="18"/>
      <w:szCs w:val="18"/>
    </w:rPr>
  </w:style>
  <w:style w:type="character" w:customStyle="1" w:styleId="af5">
    <w:name w:val="页脚 字符"/>
    <w:basedOn w:val="a0"/>
    <w:link w:val="af4"/>
    <w:uiPriority w:val="99"/>
    <w:rsid w:val="005D6211"/>
    <w:rPr>
      <w:sz w:val="18"/>
      <w:szCs w:val="18"/>
    </w:rPr>
  </w:style>
  <w:style w:type="paragraph" w:customStyle="1" w:styleId="TAMainText">
    <w:name w:val="TA_Main_Text"/>
    <w:basedOn w:val="a"/>
    <w:autoRedefine/>
    <w:rsid w:val="009E041C"/>
    <w:pPr>
      <w:spacing w:after="60" w:line="360" w:lineRule="auto"/>
      <w:ind w:firstLine="180"/>
    </w:pPr>
    <w:rPr>
      <w:rFonts w:ascii="Times New Roman" w:eastAsiaTheme="majorEastAsia" w:hAnsi="Times New Roman" w:cs="Times New Roman"/>
      <w:color w:val="000000" w:themeColor="text1"/>
      <w:kern w:val="21"/>
      <w:sz w:val="20"/>
      <w:szCs w:val="22"/>
      <w:lang w:val="en-GB"/>
      <w14:ligatures w14:val="none"/>
    </w:rPr>
  </w:style>
  <w:style w:type="character" w:customStyle="1" w:styleId="fontstyle01">
    <w:name w:val="fontstyle01"/>
    <w:basedOn w:val="a0"/>
    <w:rsid w:val="0074638B"/>
    <w:rPr>
      <w:rFonts w:ascii="TimesNewRomanPSMT" w:hAnsi="TimesNewRomanPSMT" w:hint="default"/>
      <w:b w:val="0"/>
      <w:bCs w:val="0"/>
      <w:i w:val="0"/>
      <w:iCs w:val="0"/>
      <w:color w:val="000000"/>
      <w:sz w:val="24"/>
      <w:szCs w:val="24"/>
    </w:rPr>
  </w:style>
  <w:style w:type="character" w:customStyle="1" w:styleId="fontstyle21">
    <w:name w:val="fontstyle21"/>
    <w:basedOn w:val="a0"/>
    <w:rsid w:val="0074638B"/>
    <w:rPr>
      <w:rFonts w:ascii="楷体" w:eastAsia="楷体" w:hAnsi="楷体" w:hint="eastAsia"/>
      <w:b w:val="0"/>
      <w:bCs w:val="0"/>
      <w:i w:val="0"/>
      <w:iCs w:val="0"/>
      <w:color w:val="4EA72E"/>
      <w:sz w:val="24"/>
      <w:szCs w:val="24"/>
    </w:rPr>
  </w:style>
  <w:style w:type="character" w:styleId="af6">
    <w:name w:val="annotation reference"/>
    <w:basedOn w:val="a0"/>
    <w:uiPriority w:val="99"/>
    <w:semiHidden/>
    <w:unhideWhenUsed/>
    <w:rsid w:val="00A00652"/>
    <w:rPr>
      <w:sz w:val="21"/>
      <w:szCs w:val="21"/>
    </w:rPr>
  </w:style>
  <w:style w:type="paragraph" w:styleId="af7">
    <w:name w:val="annotation text"/>
    <w:basedOn w:val="a"/>
    <w:link w:val="af8"/>
    <w:uiPriority w:val="99"/>
    <w:semiHidden/>
    <w:unhideWhenUsed/>
    <w:rsid w:val="00A00652"/>
  </w:style>
  <w:style w:type="character" w:customStyle="1" w:styleId="af8">
    <w:name w:val="批注文字 字符"/>
    <w:basedOn w:val="a0"/>
    <w:link w:val="af7"/>
    <w:uiPriority w:val="99"/>
    <w:semiHidden/>
    <w:rsid w:val="00A00652"/>
  </w:style>
  <w:style w:type="paragraph" w:styleId="af9">
    <w:name w:val="annotation subject"/>
    <w:basedOn w:val="af7"/>
    <w:next w:val="af7"/>
    <w:link w:val="afa"/>
    <w:uiPriority w:val="99"/>
    <w:semiHidden/>
    <w:unhideWhenUsed/>
    <w:rsid w:val="00A00652"/>
    <w:rPr>
      <w:b/>
      <w:bCs/>
    </w:rPr>
  </w:style>
  <w:style w:type="character" w:customStyle="1" w:styleId="afa">
    <w:name w:val="批注主题 字符"/>
    <w:basedOn w:val="af8"/>
    <w:link w:val="af9"/>
    <w:uiPriority w:val="99"/>
    <w:semiHidden/>
    <w:rsid w:val="00A00652"/>
    <w:rPr>
      <w:b/>
      <w:bCs/>
    </w:rPr>
  </w:style>
  <w:style w:type="paragraph" w:styleId="afb">
    <w:name w:val="Bibliography"/>
    <w:basedOn w:val="a"/>
    <w:next w:val="a"/>
    <w:uiPriority w:val="37"/>
    <w:semiHidden/>
    <w:unhideWhenUsed/>
    <w:rsid w:val="00955A0A"/>
  </w:style>
  <w:style w:type="paragraph" w:styleId="afc">
    <w:name w:val="caption"/>
    <w:basedOn w:val="a"/>
    <w:next w:val="a"/>
    <w:uiPriority w:val="35"/>
    <w:unhideWhenUsed/>
    <w:qFormat/>
    <w:rsid w:val="007757B9"/>
    <w:pPr>
      <w:widowControl w:val="0"/>
      <w:spacing w:after="0" w:line="240" w:lineRule="auto"/>
      <w:jc w:val="center"/>
    </w:pPr>
    <w:rPr>
      <w:rFonts w:ascii="Times New Roman" w:eastAsia="Times New Roman" w:hAnsi="Times New Roman" w:cstheme="majorBidi"/>
      <w:sz w:val="20"/>
      <w:szCs w:val="20"/>
      <w14:ligatures w14:val="none"/>
    </w:rPr>
  </w:style>
  <w:style w:type="table" w:styleId="51">
    <w:name w:val="Plain Table 5"/>
    <w:basedOn w:val="a1"/>
    <w:uiPriority w:val="45"/>
    <w:rsid w:val="008C4C77"/>
    <w:pPr>
      <w:spacing w:after="0" w:line="240" w:lineRule="auto"/>
    </w:pPr>
    <w:rPr>
      <w:sz w:val="21"/>
      <w:szCs w:val="22"/>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d">
    <w:name w:val="Revision"/>
    <w:hidden/>
    <w:uiPriority w:val="99"/>
    <w:semiHidden/>
    <w:rsid w:val="005D5F8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37447">
      <w:bodyDiv w:val="1"/>
      <w:marLeft w:val="0"/>
      <w:marRight w:val="0"/>
      <w:marTop w:val="0"/>
      <w:marBottom w:val="0"/>
      <w:divBdr>
        <w:top w:val="none" w:sz="0" w:space="0" w:color="auto"/>
        <w:left w:val="none" w:sz="0" w:space="0" w:color="auto"/>
        <w:bottom w:val="none" w:sz="0" w:space="0" w:color="auto"/>
        <w:right w:val="none" w:sz="0" w:space="0" w:color="auto"/>
      </w:divBdr>
    </w:div>
    <w:div w:id="455291966">
      <w:bodyDiv w:val="1"/>
      <w:marLeft w:val="0"/>
      <w:marRight w:val="0"/>
      <w:marTop w:val="0"/>
      <w:marBottom w:val="0"/>
      <w:divBdr>
        <w:top w:val="none" w:sz="0" w:space="0" w:color="auto"/>
        <w:left w:val="none" w:sz="0" w:space="0" w:color="auto"/>
        <w:bottom w:val="none" w:sz="0" w:space="0" w:color="auto"/>
        <w:right w:val="none" w:sz="0" w:space="0" w:color="auto"/>
      </w:divBdr>
    </w:div>
    <w:div w:id="828404123">
      <w:bodyDiv w:val="1"/>
      <w:marLeft w:val="0"/>
      <w:marRight w:val="0"/>
      <w:marTop w:val="0"/>
      <w:marBottom w:val="0"/>
      <w:divBdr>
        <w:top w:val="none" w:sz="0" w:space="0" w:color="auto"/>
        <w:left w:val="none" w:sz="0" w:space="0" w:color="auto"/>
        <w:bottom w:val="none" w:sz="0" w:space="0" w:color="auto"/>
        <w:right w:val="none" w:sz="0" w:space="0" w:color="auto"/>
      </w:divBdr>
    </w:div>
    <w:div w:id="1012535712">
      <w:bodyDiv w:val="1"/>
      <w:marLeft w:val="0"/>
      <w:marRight w:val="0"/>
      <w:marTop w:val="0"/>
      <w:marBottom w:val="0"/>
      <w:divBdr>
        <w:top w:val="none" w:sz="0" w:space="0" w:color="auto"/>
        <w:left w:val="none" w:sz="0" w:space="0" w:color="auto"/>
        <w:bottom w:val="none" w:sz="0" w:space="0" w:color="auto"/>
        <w:right w:val="none" w:sz="0" w:space="0" w:color="auto"/>
      </w:divBdr>
    </w:div>
    <w:div w:id="1249190759">
      <w:bodyDiv w:val="1"/>
      <w:marLeft w:val="0"/>
      <w:marRight w:val="0"/>
      <w:marTop w:val="0"/>
      <w:marBottom w:val="0"/>
      <w:divBdr>
        <w:top w:val="none" w:sz="0" w:space="0" w:color="auto"/>
        <w:left w:val="none" w:sz="0" w:space="0" w:color="auto"/>
        <w:bottom w:val="none" w:sz="0" w:space="0" w:color="auto"/>
        <w:right w:val="none" w:sz="0" w:space="0" w:color="auto"/>
      </w:divBdr>
    </w:div>
    <w:div w:id="1423526155">
      <w:bodyDiv w:val="1"/>
      <w:marLeft w:val="0"/>
      <w:marRight w:val="0"/>
      <w:marTop w:val="0"/>
      <w:marBottom w:val="0"/>
      <w:divBdr>
        <w:top w:val="none" w:sz="0" w:space="0" w:color="auto"/>
        <w:left w:val="none" w:sz="0" w:space="0" w:color="auto"/>
        <w:bottom w:val="none" w:sz="0" w:space="0" w:color="auto"/>
        <w:right w:val="none" w:sz="0" w:space="0" w:color="auto"/>
      </w:divBdr>
    </w:div>
    <w:div w:id="1695576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E90D32-2119-4C0C-885A-DA0C6AD183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3044</Words>
  <Characters>16411</Characters>
  <Application>Microsoft Office Word</Application>
  <DocSecurity>0</DocSecurity>
  <Lines>361</Lines>
  <Paragraphs>188</Paragraphs>
  <ScaleCrop>false</ScaleCrop>
  <Company/>
  <LinksUpToDate>false</LinksUpToDate>
  <CharactersWithSpaces>19266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dc:creator>
  <cp:keywords/>
  <dc:description/>
  <cp:lastModifiedBy>淑雯 郭</cp:lastModifiedBy>
  <cp:revision>3</cp:revision>
  <cp:lastPrinted>2025-01-08T07:26:00Z</cp:lastPrinted>
  <dcterms:created xsi:type="dcterms:W3CDTF">2025-01-08T07:25:00Z</dcterms:created>
  <dcterms:modified xsi:type="dcterms:W3CDTF">2025-01-08T07:29:00Z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2024-07-11T10:28:37Z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f339d04f-3c2e-4d02-8acb-256311a691e3</vt:lpwstr>
  </property>
  <property fmtid="{D5CDD505-2E9C-101B-9397-08002B2CF9AE}" pid="7" name="MSIP_Label_defa4170-0d19-0005-0004-bc88714345d2_ActionId">
    <vt:lpwstr>e8b992ad-bebc-4f01-b461-35bffa3d949d</vt:lpwstr>
  </property>
  <property fmtid="{D5CDD505-2E9C-101B-9397-08002B2CF9AE}" pid="8" name="MSIP_Label_defa4170-0d19-0005-0004-bc88714345d2_ContentBits">
    <vt:lpwstr>0</vt:lpwstr>
  </property>
  <property fmtid="{D5CDD505-2E9C-101B-9397-08002B2CF9AE}" pid="9" name="GrammarlyDocumentId">
    <vt:lpwstr>9e2fe4c3e39a29af4e3f430b702d8e67272d6712c661ab4bfbef4ecf5d295292</vt:lpwstr>
  </property>
</Properties>
</file>